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E4EA2" w:rsidRPr="007D6A6B" w:rsidRDefault="007E4EA2" w:rsidP="007E4EA2">
      <w:pPr>
        <w:pStyle w:val="Heading2"/>
      </w:pPr>
      <w:bookmarkStart w:id="0" w:name="_Toc17795757"/>
      <w:bookmarkStart w:id="1" w:name="_GoBack"/>
      <w:bookmarkEnd w:id="1"/>
      <w:r w:rsidRPr="007D6A6B">
        <w:t>The ATS Console</w:t>
      </w:r>
      <w:bookmarkEnd w:id="0"/>
      <w:r>
        <w:fldChar w:fldCharType="begin"/>
      </w:r>
      <w:r>
        <w:instrText xml:space="preserve"> XE "</w:instrText>
      </w:r>
      <w:r w:rsidRPr="004A115D">
        <w:instrText>Console</w:instrText>
      </w:r>
      <w:r>
        <w:instrText xml:space="preserve">" </w:instrText>
      </w:r>
      <w:r>
        <w:fldChar w:fldCharType="end"/>
      </w:r>
    </w:p>
    <w:p w:rsidR="007E4EA2" w:rsidRDefault="007E4EA2" w:rsidP="007E4EA2">
      <w:pPr>
        <w:spacing w:after="240"/>
      </w:pPr>
      <w:r>
        <w:t>The main window that appears after login is referred to as the ATS Console</w:t>
      </w:r>
      <w:r>
        <w:fldChar w:fldCharType="begin"/>
      </w:r>
      <w:r>
        <w:instrText xml:space="preserve"> XE "</w:instrText>
      </w:r>
      <w:r w:rsidRPr="006C2929">
        <w:instrText>Console</w:instrText>
      </w:r>
      <w:r>
        <w:instrText xml:space="preserve">" </w:instrText>
      </w:r>
      <w:r>
        <w:fldChar w:fldCharType="end"/>
      </w:r>
      <w:r>
        <w:t xml:space="preserve"> because console is a synonym for "control panel".  Regardless of whether you use one or all of the ATS products, the ATS Console will appear as the primary access point for the system.</w:t>
      </w:r>
    </w:p>
    <w:p w:rsidR="007E4EA2" w:rsidRDefault="007E4EA2" w:rsidP="007E4EA2">
      <w:pPr>
        <w:spacing w:after="240"/>
      </w:pPr>
      <w:r>
        <w:rPr>
          <w:noProof/>
        </w:rPr>
        <w:drawing>
          <wp:inline distT="0" distB="0" distL="0" distR="0" wp14:anchorId="39317FF5" wp14:editId="3B06ADD9">
            <wp:extent cx="6400800" cy="3220720"/>
            <wp:effectExtent l="19050" t="0" r="0" b="0"/>
            <wp:docPr id="4" name="Picture 3" descr="Console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nsole.bmp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322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4EA2" w:rsidRPr="00390C13" w:rsidRDefault="007E4EA2" w:rsidP="007E4EA2">
      <w:pPr>
        <w:pStyle w:val="FigureCaption"/>
      </w:pPr>
      <w:bookmarkStart w:id="2" w:name="_Toc17795983"/>
      <w:r w:rsidRPr="00390C13">
        <w:t xml:space="preserve">Figure </w:t>
      </w:r>
      <w:r>
        <w:fldChar w:fldCharType="begin"/>
      </w:r>
      <w:r>
        <w:instrText xml:space="preserve"> STYLEREF 1 \s </w:instrText>
      </w:r>
      <w:r>
        <w:fldChar w:fldCharType="separate"/>
      </w:r>
      <w:r>
        <w:rPr>
          <w:noProof/>
        </w:rPr>
        <w:t>1</w:t>
      </w:r>
      <w:r>
        <w:rPr>
          <w:noProof/>
        </w:rPr>
        <w:fldChar w:fldCharType="end"/>
      </w:r>
      <w:r>
        <w:noBreakHyphen/>
      </w:r>
      <w:r>
        <w:fldChar w:fldCharType="begin"/>
      </w:r>
      <w:r>
        <w:instrText xml:space="preserve"> SEQ Figure \* ARABIC \s 1 </w:instrText>
      </w:r>
      <w:r>
        <w:fldChar w:fldCharType="separate"/>
      </w:r>
      <w:r>
        <w:rPr>
          <w:noProof/>
        </w:rPr>
        <w:t>1</w:t>
      </w:r>
      <w:r>
        <w:rPr>
          <w:noProof/>
        </w:rPr>
        <w:fldChar w:fldCharType="end"/>
      </w:r>
      <w:r w:rsidRPr="00390C13">
        <w:t>: ATS Console</w:t>
      </w:r>
      <w:bookmarkEnd w:id="2"/>
      <w:r>
        <w:fldChar w:fldCharType="begin"/>
      </w:r>
      <w:r>
        <w:instrText xml:space="preserve"> XE "</w:instrText>
      </w:r>
      <w:r w:rsidRPr="004A115D">
        <w:instrText>Console</w:instrText>
      </w:r>
      <w:r>
        <w:instrText xml:space="preserve">" </w:instrText>
      </w:r>
      <w:r>
        <w:fldChar w:fldCharType="end"/>
      </w:r>
    </w:p>
    <w:p w:rsidR="007E4EA2" w:rsidRDefault="007E4EA2" w:rsidP="007E4EA2">
      <w:pPr>
        <w:spacing w:after="240"/>
      </w:pPr>
      <w:r>
        <w:t xml:space="preserve">The </w:t>
      </w:r>
      <w:r w:rsidRPr="00A139F4">
        <w:rPr>
          <w:rStyle w:val="PageNameChar"/>
        </w:rPr>
        <w:t>Console</w:t>
      </w:r>
      <w:r>
        <w:rPr>
          <w:rStyle w:val="PageNameChar"/>
        </w:rPr>
        <w:fldChar w:fldCharType="begin"/>
      </w:r>
      <w:r>
        <w:instrText xml:space="preserve"> XE "</w:instrText>
      </w:r>
      <w:r w:rsidRPr="006F6E7D">
        <w:rPr>
          <w:rStyle w:val="PageNameChar"/>
        </w:rPr>
        <w:instrText>Console</w:instrText>
      </w:r>
      <w:r>
        <w:instrText xml:space="preserve">" </w:instrText>
      </w:r>
      <w:r>
        <w:rPr>
          <w:rStyle w:val="PageNameChar"/>
        </w:rPr>
        <w:fldChar w:fldCharType="end"/>
      </w:r>
      <w:r>
        <w:t xml:space="preserve"> page consists of four (4) major components; the Menu Bar, the Toolbar, the Work Area, and the Status Bar</w:t>
      </w:r>
      <w:r>
        <w:fldChar w:fldCharType="begin"/>
      </w:r>
      <w:r>
        <w:instrText xml:space="preserve"> XE "</w:instrText>
      </w:r>
      <w:r w:rsidRPr="00CA251E">
        <w:instrText>Status Bar</w:instrText>
      </w:r>
      <w:r>
        <w:instrText xml:space="preserve">" </w:instrText>
      </w:r>
      <w:r>
        <w:fldChar w:fldCharType="end"/>
      </w:r>
      <w:r>
        <w:t>.</w:t>
      </w:r>
    </w:p>
    <w:p w:rsidR="007E4EA2" w:rsidRDefault="007E4EA2" w:rsidP="007E4EA2">
      <w:pPr>
        <w:pStyle w:val="Heading3"/>
      </w:pPr>
      <w:bookmarkStart w:id="3" w:name="_Toc17795758"/>
      <w:r>
        <w:t>Menu Bar</w:t>
      </w:r>
      <w:bookmarkEnd w:id="3"/>
    </w:p>
    <w:p w:rsidR="007E4EA2" w:rsidRDefault="007E4EA2" w:rsidP="007E4EA2">
      <w:pPr>
        <w:spacing w:after="240"/>
        <w:ind w:left="360"/>
      </w:pPr>
      <w:r>
        <w:t>The Menu Bar is located at the top of the page and provides access to major sections of the system, depending on your security settings.</w:t>
      </w:r>
    </w:p>
    <w:p w:rsidR="007E4EA2" w:rsidRDefault="007E4EA2" w:rsidP="007E4EA2">
      <w:pPr>
        <w:spacing w:after="720"/>
        <w:ind w:left="360"/>
      </w:pPr>
      <w:r>
        <w:t>The available menu options are as follows:</w:t>
      </w:r>
    </w:p>
    <w:tbl>
      <w:tblPr>
        <w:tblStyle w:val="TableGrid"/>
        <w:tblW w:w="0" w:type="auto"/>
        <w:tblInd w:w="468" w:type="dxa"/>
        <w:tblLook w:val="04A0" w:firstRow="1" w:lastRow="0" w:firstColumn="1" w:lastColumn="0" w:noHBand="0" w:noVBand="1"/>
      </w:tblPr>
      <w:tblGrid>
        <w:gridCol w:w="2016"/>
        <w:gridCol w:w="7092"/>
      </w:tblGrid>
      <w:tr w:rsidR="007E4EA2" w:rsidTr="00F74341">
        <w:trPr>
          <w:tblHeader/>
        </w:trPr>
        <w:tc>
          <w:tcPr>
            <w:tcW w:w="2070" w:type="dxa"/>
            <w:shd w:val="clear" w:color="auto" w:fill="365F91" w:themeFill="accent1" w:themeFillShade="BF"/>
          </w:tcPr>
          <w:p w:rsidR="007E4EA2" w:rsidRPr="00C21465" w:rsidRDefault="007E4EA2" w:rsidP="00F74341">
            <w:pPr>
              <w:spacing w:before="120" w:after="120"/>
              <w:rPr>
                <w:b/>
                <w:color w:val="FFFFFF" w:themeColor="background1"/>
              </w:rPr>
            </w:pPr>
            <w:r w:rsidRPr="00C21465">
              <w:rPr>
                <w:b/>
                <w:color w:val="FFFFFF" w:themeColor="background1"/>
              </w:rPr>
              <w:t>Menu</w:t>
            </w:r>
            <w:r>
              <w:rPr>
                <w:b/>
                <w:color w:val="FFFFFF" w:themeColor="background1"/>
              </w:rPr>
              <w:t xml:space="preserve"> Option</w:t>
            </w:r>
          </w:p>
        </w:tc>
        <w:tc>
          <w:tcPr>
            <w:tcW w:w="7650" w:type="dxa"/>
            <w:shd w:val="clear" w:color="auto" w:fill="365F91" w:themeFill="accent1" w:themeFillShade="BF"/>
          </w:tcPr>
          <w:p w:rsidR="007E4EA2" w:rsidRPr="00C21465" w:rsidRDefault="007E4EA2" w:rsidP="00F74341">
            <w:pPr>
              <w:spacing w:before="120" w:after="120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Description</w:t>
            </w:r>
          </w:p>
        </w:tc>
      </w:tr>
      <w:tr w:rsidR="007E4EA2" w:rsidTr="00F74341">
        <w:trPr>
          <w:cantSplit/>
        </w:trPr>
        <w:tc>
          <w:tcPr>
            <w:tcW w:w="2070" w:type="dxa"/>
          </w:tcPr>
          <w:p w:rsidR="007E4EA2" w:rsidRPr="00E02A76" w:rsidRDefault="007E4EA2" w:rsidP="00F74341">
            <w:pPr>
              <w:rPr>
                <w:rFonts w:ascii="Arial" w:hAnsi="Arial" w:cs="Arial"/>
                <w:sz w:val="20"/>
                <w:szCs w:val="20"/>
              </w:rPr>
            </w:pPr>
            <w:r w:rsidRPr="00E02A76">
              <w:rPr>
                <w:rFonts w:ascii="Arial" w:hAnsi="Arial" w:cs="Arial"/>
                <w:sz w:val="20"/>
                <w:szCs w:val="20"/>
              </w:rPr>
              <w:t>Dashboards</w:t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>
              <w:instrText xml:space="preserve"> XE "</w:instrText>
            </w:r>
            <w:r w:rsidRPr="00EA2C55">
              <w:instrText>Dashboards</w:instrText>
            </w:r>
            <w:r>
              <w:instrText xml:space="preserve">"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  <w:tc>
          <w:tcPr>
            <w:tcW w:w="7650" w:type="dxa"/>
          </w:tcPr>
          <w:p w:rsidR="007E4EA2" w:rsidRPr="00E02A76" w:rsidRDefault="007E4EA2" w:rsidP="00F74341">
            <w:pPr>
              <w:rPr>
                <w:rFonts w:ascii="Arial" w:hAnsi="Arial" w:cs="Arial"/>
                <w:sz w:val="20"/>
                <w:szCs w:val="20"/>
              </w:rPr>
            </w:pPr>
            <w:r w:rsidRPr="00E02A76">
              <w:rPr>
                <w:rFonts w:ascii="Arial" w:hAnsi="Arial" w:cs="Arial"/>
                <w:sz w:val="20"/>
                <w:szCs w:val="20"/>
              </w:rPr>
              <w:t>Provides access to interactive dashboards that provide analytical information about the contents of the database(s).</w:t>
            </w:r>
          </w:p>
        </w:tc>
      </w:tr>
      <w:tr w:rsidR="007E4EA2" w:rsidTr="00F74341">
        <w:trPr>
          <w:cantSplit/>
        </w:trPr>
        <w:tc>
          <w:tcPr>
            <w:tcW w:w="2070" w:type="dxa"/>
          </w:tcPr>
          <w:p w:rsidR="007E4EA2" w:rsidRPr="00E02A76" w:rsidRDefault="007E4EA2" w:rsidP="00F74341">
            <w:pPr>
              <w:rPr>
                <w:rFonts w:ascii="Arial" w:hAnsi="Arial" w:cs="Arial"/>
                <w:sz w:val="20"/>
                <w:szCs w:val="20"/>
              </w:rPr>
            </w:pPr>
            <w:r w:rsidRPr="00E02A76">
              <w:rPr>
                <w:rFonts w:ascii="Arial" w:hAnsi="Arial" w:cs="Arial"/>
                <w:sz w:val="20"/>
                <w:szCs w:val="20"/>
              </w:rPr>
              <w:t>Diaries</w:t>
            </w:r>
          </w:p>
        </w:tc>
        <w:tc>
          <w:tcPr>
            <w:tcW w:w="7650" w:type="dxa"/>
          </w:tcPr>
          <w:p w:rsidR="007E4EA2" w:rsidRPr="00E02A76" w:rsidRDefault="007E4EA2" w:rsidP="00F74341">
            <w:pPr>
              <w:rPr>
                <w:rFonts w:ascii="Arial" w:hAnsi="Arial" w:cs="Arial"/>
                <w:sz w:val="20"/>
                <w:szCs w:val="20"/>
              </w:rPr>
            </w:pPr>
            <w:r w:rsidRPr="00E02A76">
              <w:rPr>
                <w:rFonts w:ascii="Arial" w:hAnsi="Arial" w:cs="Arial"/>
                <w:sz w:val="20"/>
                <w:szCs w:val="20"/>
              </w:rPr>
              <w:t>Displays the workflow diary items for the user and, if a supervisor, the diary items of subordinates.</w:t>
            </w:r>
          </w:p>
        </w:tc>
      </w:tr>
      <w:tr w:rsidR="007E4EA2" w:rsidTr="00F74341">
        <w:trPr>
          <w:cantSplit/>
        </w:trPr>
        <w:tc>
          <w:tcPr>
            <w:tcW w:w="2070" w:type="dxa"/>
          </w:tcPr>
          <w:p w:rsidR="007E4EA2" w:rsidRPr="00E02A76" w:rsidRDefault="007E4EA2" w:rsidP="00F74341">
            <w:pPr>
              <w:rPr>
                <w:rFonts w:ascii="Arial" w:hAnsi="Arial" w:cs="Arial"/>
                <w:sz w:val="20"/>
                <w:szCs w:val="20"/>
              </w:rPr>
            </w:pPr>
            <w:r w:rsidRPr="00E02A76">
              <w:rPr>
                <w:rFonts w:ascii="Arial" w:hAnsi="Arial" w:cs="Arial"/>
                <w:sz w:val="20"/>
                <w:szCs w:val="20"/>
              </w:rPr>
              <w:t>Processes</w:t>
            </w:r>
          </w:p>
        </w:tc>
        <w:tc>
          <w:tcPr>
            <w:tcW w:w="7650" w:type="dxa"/>
          </w:tcPr>
          <w:p w:rsidR="007E4EA2" w:rsidRPr="00E02A76" w:rsidRDefault="007E4EA2" w:rsidP="00F74341">
            <w:pPr>
              <w:rPr>
                <w:rFonts w:ascii="Arial" w:hAnsi="Arial" w:cs="Arial"/>
                <w:sz w:val="20"/>
                <w:szCs w:val="20"/>
              </w:rPr>
            </w:pPr>
            <w:r w:rsidRPr="00E02A76">
              <w:rPr>
                <w:rFonts w:ascii="Arial" w:hAnsi="Arial" w:cs="Arial"/>
                <w:sz w:val="20"/>
                <w:szCs w:val="20"/>
              </w:rPr>
              <w:t>The functions that generally affect multiple claims simultaneously, such as reviewing payments in batch and/or printing them.</w:t>
            </w:r>
          </w:p>
        </w:tc>
      </w:tr>
      <w:tr w:rsidR="007E4EA2" w:rsidTr="00F74341">
        <w:trPr>
          <w:cantSplit/>
        </w:trPr>
        <w:tc>
          <w:tcPr>
            <w:tcW w:w="2070" w:type="dxa"/>
          </w:tcPr>
          <w:p w:rsidR="007E4EA2" w:rsidRPr="00E02A76" w:rsidRDefault="007E4EA2" w:rsidP="00F74341">
            <w:pPr>
              <w:rPr>
                <w:rFonts w:ascii="Arial" w:hAnsi="Arial" w:cs="Arial"/>
                <w:sz w:val="20"/>
                <w:szCs w:val="20"/>
              </w:rPr>
            </w:pPr>
            <w:r w:rsidRPr="00E02A76">
              <w:rPr>
                <w:rFonts w:ascii="Arial" w:hAnsi="Arial" w:cs="Arial"/>
                <w:sz w:val="20"/>
                <w:szCs w:val="20"/>
              </w:rPr>
              <w:lastRenderedPageBreak/>
              <w:t>Reports</w:t>
            </w:r>
          </w:p>
        </w:tc>
        <w:tc>
          <w:tcPr>
            <w:tcW w:w="7650" w:type="dxa"/>
          </w:tcPr>
          <w:p w:rsidR="007E4EA2" w:rsidRPr="00E02A76" w:rsidRDefault="007E4EA2" w:rsidP="00F74341">
            <w:pPr>
              <w:rPr>
                <w:rFonts w:ascii="Arial" w:hAnsi="Arial" w:cs="Arial"/>
                <w:sz w:val="20"/>
                <w:szCs w:val="20"/>
              </w:rPr>
            </w:pPr>
            <w:r w:rsidRPr="00E02A76">
              <w:rPr>
                <w:rFonts w:ascii="Arial" w:hAnsi="Arial" w:cs="Arial"/>
                <w:sz w:val="20"/>
                <w:szCs w:val="20"/>
              </w:rPr>
              <w:t>Provides access to a wide variety of reports that include claims analysis, statistical, financial, and more. It also provides access to a general purpose tool for performing ad hoc queries against the ATS database(s). Knowledge of SQL is required to use this feature.</w:t>
            </w:r>
          </w:p>
        </w:tc>
      </w:tr>
      <w:tr w:rsidR="007E4EA2" w:rsidTr="00F74341">
        <w:trPr>
          <w:cantSplit/>
        </w:trPr>
        <w:tc>
          <w:tcPr>
            <w:tcW w:w="2070" w:type="dxa"/>
          </w:tcPr>
          <w:p w:rsidR="007E4EA2" w:rsidRPr="00E02A76" w:rsidRDefault="007E4EA2" w:rsidP="00F74341">
            <w:pPr>
              <w:rPr>
                <w:rFonts w:ascii="Arial" w:hAnsi="Arial" w:cs="Arial"/>
                <w:sz w:val="20"/>
                <w:szCs w:val="20"/>
              </w:rPr>
            </w:pPr>
            <w:r w:rsidRPr="00E02A76">
              <w:rPr>
                <w:rFonts w:ascii="Arial" w:hAnsi="Arial" w:cs="Arial"/>
                <w:sz w:val="20"/>
                <w:szCs w:val="20"/>
              </w:rPr>
              <w:t>Documents</w:t>
            </w:r>
          </w:p>
        </w:tc>
        <w:tc>
          <w:tcPr>
            <w:tcW w:w="7650" w:type="dxa"/>
          </w:tcPr>
          <w:p w:rsidR="007E4EA2" w:rsidRPr="00E02A76" w:rsidRDefault="007E4EA2" w:rsidP="00F74341">
            <w:pPr>
              <w:rPr>
                <w:rFonts w:ascii="Arial" w:hAnsi="Arial" w:cs="Arial"/>
                <w:sz w:val="20"/>
                <w:szCs w:val="20"/>
              </w:rPr>
            </w:pPr>
            <w:r w:rsidRPr="00E02A76">
              <w:rPr>
                <w:rFonts w:ascii="Arial" w:hAnsi="Arial" w:cs="Arial"/>
                <w:sz w:val="20"/>
                <w:szCs w:val="20"/>
              </w:rPr>
              <w:t>A repository for documents related to claims, incidents, first reports, etc. Documents can be in a wide variety of formats, such as; Word (.doc/.</w:t>
            </w:r>
            <w:proofErr w:type="spellStart"/>
            <w:r w:rsidRPr="00E02A76">
              <w:rPr>
                <w:rFonts w:ascii="Arial" w:hAnsi="Arial" w:cs="Arial"/>
                <w:sz w:val="20"/>
                <w:szCs w:val="20"/>
              </w:rPr>
              <w:t>docx</w:t>
            </w:r>
            <w:proofErr w:type="spellEnd"/>
            <w:r w:rsidRPr="00E02A76">
              <w:rPr>
                <w:rFonts w:ascii="Arial" w:hAnsi="Arial" w:cs="Arial"/>
                <w:sz w:val="20"/>
                <w:szCs w:val="20"/>
              </w:rPr>
              <w:t>), Excel (.</w:t>
            </w:r>
            <w:proofErr w:type="spellStart"/>
            <w:r w:rsidRPr="00E02A76">
              <w:rPr>
                <w:rFonts w:ascii="Arial" w:hAnsi="Arial" w:cs="Arial"/>
                <w:sz w:val="20"/>
                <w:szCs w:val="20"/>
              </w:rPr>
              <w:t>xls</w:t>
            </w:r>
            <w:proofErr w:type="spellEnd"/>
            <w:r w:rsidRPr="00E02A76">
              <w:rPr>
                <w:rFonts w:ascii="Arial" w:hAnsi="Arial" w:cs="Arial"/>
                <w:sz w:val="20"/>
                <w:szCs w:val="20"/>
              </w:rPr>
              <w:t>, .</w:t>
            </w:r>
            <w:proofErr w:type="spellStart"/>
            <w:r w:rsidRPr="00E02A76">
              <w:rPr>
                <w:rFonts w:ascii="Arial" w:hAnsi="Arial" w:cs="Arial"/>
                <w:sz w:val="20"/>
                <w:szCs w:val="20"/>
              </w:rPr>
              <w:t>xlsx</w:t>
            </w:r>
            <w:proofErr w:type="spellEnd"/>
            <w:r w:rsidRPr="00E02A76">
              <w:rPr>
                <w:rFonts w:ascii="Arial" w:hAnsi="Arial" w:cs="Arial"/>
                <w:sz w:val="20"/>
                <w:szCs w:val="20"/>
              </w:rPr>
              <w:t>), Adobe (.pdf), Text (.txt), Graphics (.jpg, .gif, .</w:t>
            </w:r>
            <w:proofErr w:type="spellStart"/>
            <w:r w:rsidRPr="00E02A76">
              <w:rPr>
                <w:rFonts w:ascii="Arial" w:hAnsi="Arial" w:cs="Arial"/>
                <w:sz w:val="20"/>
                <w:szCs w:val="20"/>
              </w:rPr>
              <w:t>png</w:t>
            </w:r>
            <w:proofErr w:type="spellEnd"/>
            <w:r w:rsidRPr="00E02A76">
              <w:rPr>
                <w:rFonts w:ascii="Arial" w:hAnsi="Arial" w:cs="Arial"/>
                <w:sz w:val="20"/>
                <w:szCs w:val="20"/>
              </w:rPr>
              <w:t>, etc.) and many more.</w:t>
            </w:r>
          </w:p>
        </w:tc>
      </w:tr>
      <w:tr w:rsidR="007E4EA2" w:rsidTr="00F74341">
        <w:trPr>
          <w:cantSplit/>
        </w:trPr>
        <w:tc>
          <w:tcPr>
            <w:tcW w:w="2070" w:type="dxa"/>
          </w:tcPr>
          <w:p w:rsidR="007E4EA2" w:rsidRPr="00E02A76" w:rsidRDefault="007E4EA2" w:rsidP="00F74341">
            <w:pPr>
              <w:rPr>
                <w:rFonts w:ascii="Arial" w:hAnsi="Arial" w:cs="Arial"/>
                <w:sz w:val="20"/>
                <w:szCs w:val="20"/>
              </w:rPr>
            </w:pPr>
            <w:r w:rsidRPr="00E02A76">
              <w:rPr>
                <w:rFonts w:ascii="Arial" w:hAnsi="Arial" w:cs="Arial"/>
                <w:sz w:val="20"/>
                <w:szCs w:val="20"/>
              </w:rPr>
              <w:t>Maintenance</w:t>
            </w:r>
          </w:p>
        </w:tc>
        <w:tc>
          <w:tcPr>
            <w:tcW w:w="7650" w:type="dxa"/>
          </w:tcPr>
          <w:p w:rsidR="007E4EA2" w:rsidRPr="00E02A76" w:rsidRDefault="007E4EA2" w:rsidP="00F74341">
            <w:pPr>
              <w:rPr>
                <w:rFonts w:ascii="Arial" w:hAnsi="Arial" w:cs="Arial"/>
                <w:sz w:val="20"/>
                <w:szCs w:val="20"/>
              </w:rPr>
            </w:pPr>
            <w:r w:rsidRPr="00E02A76">
              <w:rPr>
                <w:rFonts w:ascii="Arial" w:hAnsi="Arial" w:cs="Arial"/>
                <w:sz w:val="20"/>
                <w:szCs w:val="20"/>
              </w:rPr>
              <w:t>Allows users to maintain the look-up tables that the system uses for organization codes, loss codes</w:t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>
              <w:instrText xml:space="preserve"> XE "</w:instrText>
            </w:r>
            <w:r w:rsidRPr="004A6EFD">
              <w:instrText>loss codes</w:instrText>
            </w:r>
            <w:r>
              <w:instrText xml:space="preserve">"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E02A76">
              <w:rPr>
                <w:rFonts w:ascii="Arial" w:hAnsi="Arial" w:cs="Arial"/>
                <w:sz w:val="20"/>
                <w:szCs w:val="20"/>
              </w:rPr>
              <w:t>, etc.</w:t>
            </w:r>
          </w:p>
        </w:tc>
      </w:tr>
      <w:tr w:rsidR="007E4EA2" w:rsidTr="00F74341">
        <w:trPr>
          <w:cantSplit/>
        </w:trPr>
        <w:tc>
          <w:tcPr>
            <w:tcW w:w="2070" w:type="dxa"/>
          </w:tcPr>
          <w:p w:rsidR="007E4EA2" w:rsidRPr="00E02A76" w:rsidRDefault="007E4EA2" w:rsidP="00F74341">
            <w:pPr>
              <w:rPr>
                <w:rFonts w:ascii="Arial" w:hAnsi="Arial" w:cs="Arial"/>
                <w:sz w:val="20"/>
                <w:szCs w:val="20"/>
              </w:rPr>
            </w:pPr>
            <w:r w:rsidRPr="00E02A76">
              <w:rPr>
                <w:rFonts w:ascii="Arial" w:hAnsi="Arial" w:cs="Arial"/>
                <w:sz w:val="20"/>
                <w:szCs w:val="20"/>
              </w:rPr>
              <w:t>Administration</w:t>
            </w:r>
          </w:p>
        </w:tc>
        <w:tc>
          <w:tcPr>
            <w:tcW w:w="7650" w:type="dxa"/>
          </w:tcPr>
          <w:p w:rsidR="007E4EA2" w:rsidRPr="00E02A76" w:rsidRDefault="007E4EA2" w:rsidP="00F74341">
            <w:pPr>
              <w:rPr>
                <w:rFonts w:ascii="Arial" w:hAnsi="Arial" w:cs="Arial"/>
                <w:sz w:val="20"/>
                <w:szCs w:val="20"/>
              </w:rPr>
            </w:pPr>
            <w:r w:rsidRPr="00E02A76">
              <w:rPr>
                <w:rFonts w:ascii="Arial" w:hAnsi="Arial" w:cs="Arial"/>
                <w:sz w:val="20"/>
                <w:szCs w:val="20"/>
              </w:rPr>
              <w:t>The features that allow administrators to configure the system-wide options that affect how the system will look and function, and features that are used to maintain the security settings for Users and Groups.</w:t>
            </w:r>
          </w:p>
        </w:tc>
      </w:tr>
    </w:tbl>
    <w:p w:rsidR="007E4EA2" w:rsidRDefault="007E4EA2" w:rsidP="007E4EA2">
      <w:pPr>
        <w:spacing w:before="360" w:after="240"/>
        <w:ind w:left="360"/>
      </w:pPr>
      <w:r>
        <w:t>When you click any of the options on the Menu Bar it will open a new tab or window (depending on your settings) with the selected component.</w:t>
      </w:r>
    </w:p>
    <w:p w:rsidR="007E4EA2" w:rsidRDefault="007E4EA2" w:rsidP="007E4EA2">
      <w:pPr>
        <w:pStyle w:val="Heading3"/>
      </w:pPr>
      <w:bookmarkStart w:id="4" w:name="_Toc17795759"/>
      <w:r>
        <w:t>Toolbar</w:t>
      </w:r>
      <w:bookmarkEnd w:id="4"/>
    </w:p>
    <w:p w:rsidR="007E4EA2" w:rsidRDefault="007E4EA2" w:rsidP="007E4EA2">
      <w:pPr>
        <w:spacing w:after="240"/>
        <w:ind w:left="360"/>
      </w:pPr>
      <w:r>
        <w:t>Toolbars in ATS 2019 contain tools, represented by icons and/or text, that provide access to processes and features associated with the current page or that act upon a selected item on the current page. The name of the current page is also displayed on the left side of the toolbar.</w:t>
      </w:r>
    </w:p>
    <w:p w:rsidR="007E4EA2" w:rsidRDefault="007E4EA2" w:rsidP="007E4EA2">
      <w:pPr>
        <w:spacing w:after="240"/>
        <w:ind w:left="360"/>
      </w:pPr>
      <w:r>
        <w:t>The following tools are available on the Console</w:t>
      </w:r>
      <w:r>
        <w:fldChar w:fldCharType="begin"/>
      </w:r>
      <w:r>
        <w:instrText xml:space="preserve"> XE "</w:instrText>
      </w:r>
      <w:r w:rsidRPr="004A115D">
        <w:instrText>Console</w:instrText>
      </w:r>
      <w:r>
        <w:instrText xml:space="preserve">" </w:instrText>
      </w:r>
      <w:r>
        <w:fldChar w:fldCharType="end"/>
      </w:r>
      <w:r>
        <w:t xml:space="preserve"> toolbar:</w:t>
      </w:r>
    </w:p>
    <w:tbl>
      <w:tblPr>
        <w:tblStyle w:val="TableGrid"/>
        <w:tblW w:w="0" w:type="auto"/>
        <w:tblInd w:w="468" w:type="dxa"/>
        <w:tblLook w:val="04A0" w:firstRow="1" w:lastRow="0" w:firstColumn="1" w:lastColumn="0" w:noHBand="0" w:noVBand="1"/>
      </w:tblPr>
      <w:tblGrid>
        <w:gridCol w:w="670"/>
        <w:gridCol w:w="1695"/>
        <w:gridCol w:w="6743"/>
      </w:tblGrid>
      <w:tr w:rsidR="007E4EA2" w:rsidTr="00F74341">
        <w:trPr>
          <w:tblHeader/>
        </w:trPr>
        <w:tc>
          <w:tcPr>
            <w:tcW w:w="670" w:type="dxa"/>
            <w:shd w:val="clear" w:color="auto" w:fill="365F91" w:themeFill="accent1" w:themeFillShade="BF"/>
          </w:tcPr>
          <w:p w:rsidR="007E4EA2" w:rsidRPr="00C21465" w:rsidRDefault="007E4EA2" w:rsidP="00F74341">
            <w:pPr>
              <w:spacing w:before="120" w:after="120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Icon</w:t>
            </w:r>
          </w:p>
        </w:tc>
        <w:tc>
          <w:tcPr>
            <w:tcW w:w="1760" w:type="dxa"/>
            <w:shd w:val="clear" w:color="auto" w:fill="365F91" w:themeFill="accent1" w:themeFillShade="BF"/>
          </w:tcPr>
          <w:p w:rsidR="007E4EA2" w:rsidRPr="00C21465" w:rsidRDefault="007E4EA2" w:rsidP="00F74341">
            <w:pPr>
              <w:spacing w:before="120" w:after="120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Tool</w:t>
            </w:r>
          </w:p>
        </w:tc>
        <w:tc>
          <w:tcPr>
            <w:tcW w:w="7290" w:type="dxa"/>
            <w:shd w:val="clear" w:color="auto" w:fill="365F91" w:themeFill="accent1" w:themeFillShade="BF"/>
          </w:tcPr>
          <w:p w:rsidR="007E4EA2" w:rsidRPr="00C21465" w:rsidRDefault="007E4EA2" w:rsidP="00F74341">
            <w:pPr>
              <w:spacing w:before="120" w:after="120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Purpose</w:t>
            </w:r>
          </w:p>
        </w:tc>
      </w:tr>
      <w:tr w:rsidR="007E4EA2" w:rsidTr="00F74341">
        <w:trPr>
          <w:cantSplit/>
        </w:trPr>
        <w:tc>
          <w:tcPr>
            <w:tcW w:w="670" w:type="dxa"/>
          </w:tcPr>
          <w:p w:rsidR="007E4EA2" w:rsidRDefault="007E4EA2" w:rsidP="00F74341">
            <w:pPr>
              <w:spacing w:before="40" w:after="40"/>
              <w:jc w:val="center"/>
            </w:pPr>
            <w:r>
              <w:rPr>
                <w:noProof/>
              </w:rPr>
              <w:drawing>
                <wp:inline distT="0" distB="0" distL="0" distR="0" wp14:anchorId="0A48417E" wp14:editId="11052238">
                  <wp:extent cx="228600" cy="228600"/>
                  <wp:effectExtent l="0" t="0" r="0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0" w:type="dxa"/>
          </w:tcPr>
          <w:p w:rsidR="007E4EA2" w:rsidRPr="00E02A76" w:rsidRDefault="007E4EA2" w:rsidP="00F74341">
            <w:pPr>
              <w:pStyle w:val="Button"/>
              <w:spacing w:before="120" w:after="120"/>
            </w:pPr>
            <w:r w:rsidRPr="00E02A76">
              <w:t>Manage Tiles</w:t>
            </w:r>
          </w:p>
        </w:tc>
        <w:tc>
          <w:tcPr>
            <w:tcW w:w="7290" w:type="dxa"/>
          </w:tcPr>
          <w:p w:rsidR="007E4EA2" w:rsidRPr="00E02A76" w:rsidRDefault="007E4EA2" w:rsidP="00F74341">
            <w:pPr>
              <w:rPr>
                <w:rFonts w:ascii="Arial" w:hAnsi="Arial" w:cs="Arial"/>
                <w:sz w:val="20"/>
                <w:szCs w:val="20"/>
              </w:rPr>
            </w:pPr>
            <w:r w:rsidRPr="00E02A76">
              <w:rPr>
                <w:rFonts w:ascii="Arial" w:hAnsi="Arial" w:cs="Arial"/>
                <w:sz w:val="20"/>
                <w:szCs w:val="20"/>
              </w:rPr>
              <w:t>Opens the tile</w:t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>
              <w:instrText xml:space="preserve"> XE "</w:instrText>
            </w:r>
            <w:r w:rsidRPr="0078210B">
              <w:instrText>tile</w:instrText>
            </w:r>
            <w:r>
              <w:instrText xml:space="preserve">"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E02A76">
              <w:rPr>
                <w:rFonts w:ascii="Arial" w:hAnsi="Arial" w:cs="Arial"/>
                <w:sz w:val="20"/>
                <w:szCs w:val="20"/>
              </w:rPr>
              <w:t xml:space="preserve"> selection screen to add or remove tiles from the work area.</w:t>
            </w:r>
          </w:p>
        </w:tc>
      </w:tr>
      <w:tr w:rsidR="007E4EA2" w:rsidTr="00F74341">
        <w:trPr>
          <w:cantSplit/>
        </w:trPr>
        <w:tc>
          <w:tcPr>
            <w:tcW w:w="670" w:type="dxa"/>
          </w:tcPr>
          <w:p w:rsidR="007E4EA2" w:rsidRDefault="007E4EA2" w:rsidP="00F74341">
            <w:pPr>
              <w:spacing w:before="40" w:after="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33045" cy="233045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045" cy="23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0" w:type="dxa"/>
          </w:tcPr>
          <w:p w:rsidR="007E4EA2" w:rsidRPr="00E02A76" w:rsidRDefault="007E4EA2" w:rsidP="00F74341">
            <w:pPr>
              <w:pStyle w:val="Button"/>
              <w:spacing w:before="120" w:after="120"/>
            </w:pPr>
            <w:r w:rsidRPr="00E02A76">
              <w:t>Settings</w:t>
            </w:r>
          </w:p>
        </w:tc>
        <w:tc>
          <w:tcPr>
            <w:tcW w:w="7290" w:type="dxa"/>
          </w:tcPr>
          <w:p w:rsidR="007E4EA2" w:rsidRPr="00E02A76" w:rsidRDefault="007E4EA2" w:rsidP="00F74341">
            <w:pPr>
              <w:rPr>
                <w:rFonts w:ascii="Arial" w:hAnsi="Arial" w:cs="Arial"/>
                <w:sz w:val="20"/>
                <w:szCs w:val="20"/>
              </w:rPr>
            </w:pPr>
            <w:r w:rsidRPr="00E02A76">
              <w:rPr>
                <w:rFonts w:ascii="Arial" w:hAnsi="Arial" w:cs="Arial"/>
                <w:sz w:val="20"/>
                <w:szCs w:val="20"/>
              </w:rPr>
              <w:t>Opens the settings dialog for the current screen.</w:t>
            </w:r>
          </w:p>
        </w:tc>
      </w:tr>
      <w:tr w:rsidR="007E4EA2" w:rsidTr="00F74341">
        <w:trPr>
          <w:cantSplit/>
        </w:trPr>
        <w:tc>
          <w:tcPr>
            <w:tcW w:w="670" w:type="dxa"/>
          </w:tcPr>
          <w:p w:rsidR="007E4EA2" w:rsidRDefault="007E4EA2" w:rsidP="00F74341">
            <w:pPr>
              <w:spacing w:before="40" w:after="40"/>
              <w:jc w:val="center"/>
            </w:pPr>
            <w:r>
              <w:rPr>
                <w:noProof/>
              </w:rPr>
              <w:drawing>
                <wp:inline distT="0" distB="0" distL="0" distR="0" wp14:anchorId="0CFE6E9A" wp14:editId="17E5BC86">
                  <wp:extent cx="228600" cy="228600"/>
                  <wp:effectExtent l="0" t="0" r="0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0" w:type="dxa"/>
          </w:tcPr>
          <w:p w:rsidR="007E4EA2" w:rsidRPr="00E02A76" w:rsidRDefault="007E4EA2" w:rsidP="00F74341">
            <w:pPr>
              <w:pStyle w:val="Button"/>
              <w:spacing w:before="120" w:after="120"/>
            </w:pPr>
            <w:r w:rsidRPr="00E02A76">
              <w:t>Help</w:t>
            </w:r>
          </w:p>
        </w:tc>
        <w:tc>
          <w:tcPr>
            <w:tcW w:w="7290" w:type="dxa"/>
          </w:tcPr>
          <w:p w:rsidR="007E4EA2" w:rsidRPr="00E02A76" w:rsidRDefault="007E4EA2" w:rsidP="00F74341">
            <w:pPr>
              <w:rPr>
                <w:rFonts w:ascii="Arial" w:hAnsi="Arial" w:cs="Arial"/>
                <w:sz w:val="20"/>
                <w:szCs w:val="20"/>
              </w:rPr>
            </w:pPr>
            <w:r w:rsidRPr="00E02A76">
              <w:rPr>
                <w:rFonts w:ascii="Arial" w:hAnsi="Arial" w:cs="Arial"/>
                <w:sz w:val="20"/>
                <w:szCs w:val="20"/>
              </w:rPr>
              <w:t>Opens the Help file associated with the current page.</w:t>
            </w:r>
          </w:p>
        </w:tc>
      </w:tr>
    </w:tbl>
    <w:p w:rsidR="007E4EA2" w:rsidRDefault="007E4EA2" w:rsidP="007E4EA2">
      <w:pPr>
        <w:pStyle w:val="Heading3"/>
        <w:spacing w:before="360"/>
      </w:pPr>
      <w:bookmarkStart w:id="5" w:name="_Toc17795760"/>
      <w:r>
        <w:t>Work Area</w:t>
      </w:r>
      <w:bookmarkEnd w:id="5"/>
    </w:p>
    <w:p w:rsidR="007E4EA2" w:rsidRDefault="007E4EA2" w:rsidP="007E4EA2">
      <w:pPr>
        <w:spacing w:after="240"/>
        <w:ind w:left="360"/>
      </w:pPr>
      <w:r>
        <w:t xml:space="preserve">The Work Area of the </w:t>
      </w:r>
      <w:r w:rsidRPr="0077343A">
        <w:rPr>
          <w:rStyle w:val="PageNameChar"/>
        </w:rPr>
        <w:t>Console</w:t>
      </w:r>
      <w:r w:rsidRPr="0077343A">
        <w:rPr>
          <w:rStyle w:val="PageNameChar"/>
        </w:rPr>
        <w:fldChar w:fldCharType="begin"/>
      </w:r>
      <w:r w:rsidRPr="0077343A">
        <w:rPr>
          <w:rStyle w:val="PageNameChar"/>
        </w:rPr>
        <w:instrText xml:space="preserve"> XE "Console" </w:instrText>
      </w:r>
      <w:r w:rsidRPr="0077343A">
        <w:rPr>
          <w:rStyle w:val="PageNameChar"/>
        </w:rPr>
        <w:fldChar w:fldCharType="end"/>
      </w:r>
      <w:r>
        <w:t xml:space="preserve"> page displays one or more </w:t>
      </w:r>
      <w:r w:rsidRPr="0077343A">
        <w:t>Tiles</w:t>
      </w:r>
      <w:r>
        <w:t>. Each tile</w:t>
      </w:r>
      <w:r>
        <w:fldChar w:fldCharType="begin"/>
      </w:r>
      <w:r>
        <w:instrText xml:space="preserve"> XE "</w:instrText>
      </w:r>
      <w:r w:rsidRPr="0078210B">
        <w:instrText>tile</w:instrText>
      </w:r>
      <w:r>
        <w:instrText xml:space="preserve">" </w:instrText>
      </w:r>
      <w:r>
        <w:fldChar w:fldCharType="end"/>
      </w:r>
      <w:r>
        <w:t xml:space="preserve"> provides access to different information and functionality, such as; menus, claim lists, recently accessed items, diaries, email, system notices, graphs, statistics, and more.</w:t>
      </w:r>
    </w:p>
    <w:p w:rsidR="007E4EA2" w:rsidRDefault="007E4EA2" w:rsidP="007E4EA2">
      <w:pPr>
        <w:spacing w:after="240"/>
        <w:ind w:left="360"/>
      </w:pPr>
      <w:r>
        <w:t>The Work Area is fully configurable and you can modify it to meet your specific work requirements. The layout of the Work Area is like a grid. It can have from one (1) to five (5) columns and any number of rows. You can also set the width of each column.</w:t>
      </w:r>
    </w:p>
    <w:p w:rsidR="007E4EA2" w:rsidRDefault="007E4EA2" w:rsidP="007E4EA2">
      <w:pPr>
        <w:pStyle w:val="Heading3"/>
      </w:pPr>
      <w:bookmarkStart w:id="6" w:name="_Toc17795761"/>
      <w:r>
        <w:t>Status Bar</w:t>
      </w:r>
      <w:bookmarkEnd w:id="6"/>
      <w:r>
        <w:fldChar w:fldCharType="begin"/>
      </w:r>
      <w:r>
        <w:instrText xml:space="preserve"> XE "</w:instrText>
      </w:r>
      <w:r w:rsidRPr="00CA251E">
        <w:instrText>Status Bar</w:instrText>
      </w:r>
      <w:r>
        <w:instrText xml:space="preserve">" </w:instrText>
      </w:r>
      <w:r>
        <w:fldChar w:fldCharType="end"/>
      </w:r>
    </w:p>
    <w:p w:rsidR="007E4EA2" w:rsidRDefault="007E4EA2" w:rsidP="007E4EA2">
      <w:pPr>
        <w:spacing w:after="240"/>
        <w:ind w:left="360"/>
      </w:pPr>
      <w:r>
        <w:t>The Status Bar</w:t>
      </w:r>
      <w:r>
        <w:fldChar w:fldCharType="begin"/>
      </w:r>
      <w:r>
        <w:instrText xml:space="preserve"> XE "</w:instrText>
      </w:r>
      <w:r w:rsidRPr="00CA251E">
        <w:instrText>Status Bar</w:instrText>
      </w:r>
      <w:r>
        <w:instrText xml:space="preserve">" </w:instrText>
      </w:r>
      <w:r>
        <w:fldChar w:fldCharType="end"/>
      </w:r>
      <w:r>
        <w:t xml:space="preserve"> displays messages on the left side. The right side displays the name of the database that you are connected to and the name of the user that logged in.</w:t>
      </w:r>
    </w:p>
    <w:p w:rsidR="007E4EA2" w:rsidRDefault="007E4EA2" w:rsidP="007E4EA2">
      <w:pPr>
        <w:pStyle w:val="Heading3"/>
      </w:pPr>
      <w:bookmarkStart w:id="7" w:name="_Toc17795762"/>
      <w:r>
        <w:lastRenderedPageBreak/>
        <w:t>Tiles</w:t>
      </w:r>
      <w:bookmarkEnd w:id="7"/>
    </w:p>
    <w:p w:rsidR="007E4EA2" w:rsidRDefault="007E4EA2" w:rsidP="007E4EA2">
      <w:pPr>
        <w:spacing w:after="240"/>
        <w:ind w:left="360"/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637E2B75" wp14:editId="7A560BFB">
            <wp:simplePos x="0" y="0"/>
            <wp:positionH relativeFrom="column">
              <wp:posOffset>3551555</wp:posOffset>
            </wp:positionH>
            <wp:positionV relativeFrom="paragraph">
              <wp:posOffset>31115</wp:posOffset>
            </wp:positionV>
            <wp:extent cx="2906395" cy="1872615"/>
            <wp:effectExtent l="0" t="0" r="8255" b="0"/>
            <wp:wrapSquare wrapText="bothSides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TS2018-Tile - WC Menu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6395" cy="18726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A Tile</w:t>
      </w:r>
      <w:r>
        <w:fldChar w:fldCharType="begin"/>
      </w:r>
      <w:r>
        <w:instrText xml:space="preserve"> XE "</w:instrText>
      </w:r>
      <w:r w:rsidRPr="00445644">
        <w:instrText>Tile</w:instrText>
      </w:r>
      <w:r>
        <w:instrText xml:space="preserve">" </w:instrText>
      </w:r>
      <w:r>
        <w:fldChar w:fldCharType="end"/>
      </w:r>
      <w:r>
        <w:t xml:space="preserve"> is a small window that provides access to a particular set of functions. For example, Menu Tiles contain menu options that allow you to easily access a particular feature, such as entering a New Claim record or running a report. All tiles can be expanded to a full screen for easier viewing and, in some instances, additional capabilities.</w:t>
      </w:r>
    </w:p>
    <w:p w:rsidR="007E4EA2" w:rsidRDefault="007E4EA2" w:rsidP="007E4EA2">
      <w:pPr>
        <w:spacing w:after="240"/>
        <w:ind w:left="360"/>
      </w:pPr>
      <w:r>
        <w:t>The following lists various Tiles available with ATS/COMP that are available at the time of this writing; however, new Tiles are being developed as time goes on.</w:t>
      </w:r>
    </w:p>
    <w:tbl>
      <w:tblPr>
        <w:tblStyle w:val="TableGrid"/>
        <w:tblW w:w="0" w:type="auto"/>
        <w:tblInd w:w="468" w:type="dxa"/>
        <w:tblLook w:val="04A0" w:firstRow="1" w:lastRow="0" w:firstColumn="1" w:lastColumn="0" w:noHBand="0" w:noVBand="1"/>
      </w:tblPr>
      <w:tblGrid>
        <w:gridCol w:w="3910"/>
        <w:gridCol w:w="5198"/>
      </w:tblGrid>
      <w:tr w:rsidR="007E4EA2" w:rsidTr="00F74341">
        <w:trPr>
          <w:tblHeader/>
        </w:trPr>
        <w:tc>
          <w:tcPr>
            <w:tcW w:w="3910" w:type="dxa"/>
            <w:shd w:val="clear" w:color="auto" w:fill="365F91" w:themeFill="accent1" w:themeFillShade="BF"/>
          </w:tcPr>
          <w:p w:rsidR="007E4EA2" w:rsidRPr="00C21465" w:rsidRDefault="007E4EA2" w:rsidP="00F74341">
            <w:pPr>
              <w:spacing w:before="120" w:after="120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Tile</w:t>
            </w:r>
            <w:r>
              <w:rPr>
                <w:b/>
                <w:color w:val="FFFFFF" w:themeColor="background1"/>
              </w:rPr>
              <w:fldChar w:fldCharType="begin"/>
            </w:r>
            <w:r>
              <w:instrText xml:space="preserve"> XE "</w:instrText>
            </w:r>
            <w:r w:rsidRPr="00445644">
              <w:instrText>Tile</w:instrText>
            </w:r>
            <w:r>
              <w:instrText xml:space="preserve">" </w:instrText>
            </w:r>
            <w:r>
              <w:rPr>
                <w:b/>
                <w:color w:val="FFFFFF" w:themeColor="background1"/>
              </w:rPr>
              <w:fldChar w:fldCharType="end"/>
            </w:r>
          </w:p>
        </w:tc>
        <w:tc>
          <w:tcPr>
            <w:tcW w:w="5810" w:type="dxa"/>
            <w:shd w:val="clear" w:color="auto" w:fill="365F91" w:themeFill="accent1" w:themeFillShade="BF"/>
          </w:tcPr>
          <w:p w:rsidR="007E4EA2" w:rsidRPr="00C21465" w:rsidRDefault="007E4EA2" w:rsidP="00F74341">
            <w:pPr>
              <w:spacing w:before="120" w:after="120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Tile</w:t>
            </w:r>
            <w:r>
              <w:rPr>
                <w:b/>
                <w:color w:val="FFFFFF" w:themeColor="background1"/>
              </w:rPr>
              <w:fldChar w:fldCharType="begin"/>
            </w:r>
            <w:r>
              <w:instrText xml:space="preserve"> XE "</w:instrText>
            </w:r>
            <w:r w:rsidRPr="00445644">
              <w:instrText>Tile</w:instrText>
            </w:r>
            <w:r>
              <w:instrText xml:space="preserve">" </w:instrText>
            </w:r>
            <w:r>
              <w:rPr>
                <w:b/>
                <w:color w:val="FFFFFF" w:themeColor="background1"/>
              </w:rPr>
              <w:fldChar w:fldCharType="end"/>
            </w:r>
            <w:r>
              <w:rPr>
                <w:b/>
                <w:color w:val="FFFFFF" w:themeColor="background1"/>
              </w:rPr>
              <w:t xml:space="preserve"> Description</w:t>
            </w:r>
          </w:p>
        </w:tc>
      </w:tr>
      <w:tr w:rsidR="007E4EA2" w:rsidTr="00F74341">
        <w:trPr>
          <w:cantSplit/>
        </w:trPr>
        <w:tc>
          <w:tcPr>
            <w:tcW w:w="3910" w:type="dxa"/>
            <w:tcMar>
              <w:left w:w="0" w:type="dxa"/>
              <w:right w:w="0" w:type="dxa"/>
            </w:tcMar>
          </w:tcPr>
          <w:p w:rsidR="007E4EA2" w:rsidRPr="00E02A76" w:rsidRDefault="007E4EA2" w:rsidP="00F7434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52168C47" wp14:editId="46104F71">
                  <wp:extent cx="2468880" cy="1546332"/>
                  <wp:effectExtent l="0" t="0" r="762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TS2018-Tile - System Notices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8880" cy="15463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0" w:type="dxa"/>
          </w:tcPr>
          <w:p w:rsidR="007E4EA2" w:rsidRDefault="007E4EA2" w:rsidP="00F74341">
            <w:pPr>
              <w:spacing w:after="20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The System Notices Tile</w:t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>
              <w:instrText xml:space="preserve"> XE "</w:instrText>
            </w:r>
            <w:r w:rsidRPr="00445644">
              <w:instrText>Tile</w:instrText>
            </w:r>
            <w:r>
              <w:instrText xml:space="preserve">"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t xml:space="preserve"> displays general interest messages that have been created by authorized users and/or informational messages from the system, such as workflow task assignments and other reminders.</w:t>
            </w:r>
          </w:p>
          <w:p w:rsidR="007E4EA2" w:rsidRPr="00E02A76" w:rsidRDefault="007E4EA2" w:rsidP="00F7434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The expanded page allows you to view all recent messages or notifications.</w:t>
            </w:r>
          </w:p>
        </w:tc>
      </w:tr>
      <w:tr w:rsidR="007E4EA2" w:rsidTr="00F74341">
        <w:trPr>
          <w:cantSplit/>
        </w:trPr>
        <w:tc>
          <w:tcPr>
            <w:tcW w:w="3910" w:type="dxa"/>
            <w:tcMar>
              <w:left w:w="0" w:type="dxa"/>
              <w:right w:w="0" w:type="dxa"/>
            </w:tcMar>
          </w:tcPr>
          <w:p w:rsidR="007E4EA2" w:rsidRPr="00E02A76" w:rsidRDefault="007E4EA2" w:rsidP="00F7434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7AC47F1C" wp14:editId="5F4D45F0">
                  <wp:extent cx="2468880" cy="1546331"/>
                  <wp:effectExtent l="0" t="0" r="762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TS2018-Tile - Open Claims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8880" cy="1546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0" w:type="dxa"/>
          </w:tcPr>
          <w:p w:rsidR="007E4EA2" w:rsidRDefault="007E4EA2" w:rsidP="00F74341">
            <w:pPr>
              <w:spacing w:after="20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The Open Claims</w:t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>
              <w:instrText xml:space="preserve"> XE "</w:instrText>
            </w:r>
            <w:r w:rsidRPr="004F70E6">
              <w:instrText>Claims</w:instrText>
            </w:r>
            <w:r>
              <w:instrText xml:space="preserve">"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t xml:space="preserve"> Tile</w:t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>
              <w:instrText xml:space="preserve"> XE "</w:instrText>
            </w:r>
            <w:r w:rsidRPr="00445644">
              <w:instrText>Tile</w:instrText>
            </w:r>
            <w:r>
              <w:instrText xml:space="preserve">"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t xml:space="preserve"> shows a list of all open claims that are assigned to the current user. Clicking on an item will open the associated claim record.</w:t>
            </w:r>
          </w:p>
          <w:p w:rsidR="007E4EA2" w:rsidRDefault="007E4EA2" w:rsidP="00F74341">
            <w:pPr>
              <w:spacing w:after="20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The number of entries displayed can be set by the user. </w:t>
            </w:r>
          </w:p>
          <w:p w:rsidR="007E4EA2" w:rsidRPr="00E02A76" w:rsidRDefault="007E4EA2" w:rsidP="00F7434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The expanded page shows the entire list of open claims assigned to the user.</w:t>
            </w:r>
          </w:p>
        </w:tc>
      </w:tr>
      <w:tr w:rsidR="007E4EA2" w:rsidTr="00F74341">
        <w:trPr>
          <w:cantSplit/>
        </w:trPr>
        <w:tc>
          <w:tcPr>
            <w:tcW w:w="3910" w:type="dxa"/>
            <w:tcMar>
              <w:left w:w="0" w:type="dxa"/>
              <w:right w:w="0" w:type="dxa"/>
            </w:tcMar>
          </w:tcPr>
          <w:p w:rsidR="007E4EA2" w:rsidRPr="00E02A76" w:rsidRDefault="007E4EA2" w:rsidP="00F7434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3280F044" wp14:editId="178E1FA5">
                  <wp:extent cx="2468880" cy="1546331"/>
                  <wp:effectExtent l="0" t="0" r="762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TS2018-Tile - Recently Accessed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8880" cy="1546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0" w:type="dxa"/>
          </w:tcPr>
          <w:p w:rsidR="007E4EA2" w:rsidRDefault="007E4EA2" w:rsidP="00F74341">
            <w:pPr>
              <w:spacing w:after="20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The Recently Accessed Tile</w:t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>
              <w:instrText xml:space="preserve"> XE "</w:instrText>
            </w:r>
            <w:r w:rsidRPr="00445644">
              <w:instrText>Tile</w:instrText>
            </w:r>
            <w:r>
              <w:instrText xml:space="preserve">"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t xml:space="preserve"> shows a list of the most recently opened claims for the current user, in reverse chronological order. Clicking on an item will open the associated claim record.</w:t>
            </w:r>
          </w:p>
          <w:p w:rsidR="007E4EA2" w:rsidRDefault="007E4EA2" w:rsidP="00F74341">
            <w:pPr>
              <w:spacing w:after="20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The number of entries displayed can be set by the user. </w:t>
            </w:r>
          </w:p>
          <w:p w:rsidR="007E4EA2" w:rsidRPr="00E02A76" w:rsidRDefault="007E4EA2" w:rsidP="00F7434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The expanded page shows the entire list of recently accessed claims.</w:t>
            </w:r>
          </w:p>
        </w:tc>
      </w:tr>
      <w:tr w:rsidR="007E4EA2" w:rsidTr="00F74341">
        <w:trPr>
          <w:cantSplit/>
        </w:trPr>
        <w:tc>
          <w:tcPr>
            <w:tcW w:w="3910" w:type="dxa"/>
            <w:tcMar>
              <w:left w:w="0" w:type="dxa"/>
              <w:right w:w="0" w:type="dxa"/>
            </w:tcMar>
          </w:tcPr>
          <w:p w:rsidR="007E4EA2" w:rsidRPr="00E02A76" w:rsidRDefault="007E4EA2" w:rsidP="00F7434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lastRenderedPageBreak/>
              <w:drawing>
                <wp:inline distT="0" distB="0" distL="0" distR="0" wp14:anchorId="4260C699" wp14:editId="15AFA444">
                  <wp:extent cx="2468880" cy="1546331"/>
                  <wp:effectExtent l="0" t="0" r="762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TS2018-Tile - Dashboard-WC Reserves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8880" cy="1546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0" w:type="dxa"/>
          </w:tcPr>
          <w:p w:rsidR="007E4EA2" w:rsidRDefault="007E4EA2" w:rsidP="00F74341">
            <w:pPr>
              <w:spacing w:after="20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The WC Reserves</w:t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>
              <w:instrText xml:space="preserve"> XE "</w:instrText>
            </w:r>
            <w:r w:rsidRPr="005D63AC">
              <w:instrText>Reserves</w:instrText>
            </w:r>
            <w:r>
              <w:instrText xml:space="preserve">"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t xml:space="preserve"> Dashboard</w:t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>
              <w:instrText xml:space="preserve"> XE "</w:instrText>
            </w:r>
            <w:r w:rsidRPr="002B31BA">
              <w:rPr>
                <w:rFonts w:ascii="Arial" w:hAnsi="Arial" w:cs="Arial"/>
                <w:sz w:val="20"/>
                <w:szCs w:val="20"/>
              </w:rPr>
              <w:instrText>Dashboard</w:instrText>
            </w:r>
            <w:r>
              <w:instrText xml:space="preserve">"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t xml:space="preserve"> Tile provides a quick view of the overall reserves</w:t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>
              <w:instrText xml:space="preserve"> XE "</w:instrText>
            </w:r>
            <w:r w:rsidRPr="009B7C28">
              <w:instrText>reserves</w:instrText>
            </w:r>
            <w:r>
              <w:instrText xml:space="preserve">"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t xml:space="preserve"> set for the Workers’ Compensation claims in the system.</w:t>
            </w:r>
          </w:p>
          <w:p w:rsidR="007E4EA2" w:rsidRPr="00E02A76" w:rsidRDefault="007E4EA2" w:rsidP="00F7434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The expanded page displays an interactive graphical dashboard</w:t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>
              <w:instrText xml:space="preserve"> XE "</w:instrText>
            </w:r>
            <w:r w:rsidRPr="00CB5A21">
              <w:instrText>dashboard</w:instrText>
            </w:r>
            <w:r>
              <w:instrText xml:space="preserve">"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t xml:space="preserve"> that provides more specific information on the reserves</w:t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>
              <w:instrText xml:space="preserve"> XE "</w:instrText>
            </w:r>
            <w:r w:rsidRPr="009B7C28">
              <w:instrText>reserves</w:instrText>
            </w:r>
            <w:r>
              <w:instrText xml:space="preserve">"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7E4EA2" w:rsidTr="00F74341">
        <w:trPr>
          <w:cantSplit/>
        </w:trPr>
        <w:tc>
          <w:tcPr>
            <w:tcW w:w="3910" w:type="dxa"/>
            <w:tcMar>
              <w:left w:w="0" w:type="dxa"/>
              <w:right w:w="0" w:type="dxa"/>
            </w:tcMar>
          </w:tcPr>
          <w:p w:rsidR="007E4EA2" w:rsidRPr="00E02A76" w:rsidRDefault="007E4EA2" w:rsidP="00F7434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0E3D7F86" wp14:editId="685201B5">
                  <wp:extent cx="2468880" cy="1597197"/>
                  <wp:effectExtent l="0" t="0" r="7620" b="3175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TS2018-Tile - Dashboard-WC Claim Types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8880" cy="15971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0" w:type="dxa"/>
          </w:tcPr>
          <w:p w:rsidR="007E4EA2" w:rsidRDefault="007E4EA2" w:rsidP="00F74341">
            <w:pPr>
              <w:spacing w:after="20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The WC Claim Types Dashboard</w:t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>
              <w:instrText xml:space="preserve"> XE "</w:instrText>
            </w:r>
            <w:r w:rsidRPr="002B31BA">
              <w:rPr>
                <w:rFonts w:ascii="Arial" w:hAnsi="Arial" w:cs="Arial"/>
                <w:sz w:val="20"/>
                <w:szCs w:val="20"/>
              </w:rPr>
              <w:instrText>Dashboard</w:instrText>
            </w:r>
            <w:r>
              <w:instrText xml:space="preserve">"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t xml:space="preserve"> Tile provides a quick view of the breakdown of claims by type for the Workers’ Compensation claims in the system.</w:t>
            </w:r>
          </w:p>
          <w:p w:rsidR="007E4EA2" w:rsidRPr="00E02A76" w:rsidRDefault="007E4EA2" w:rsidP="00F7434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The expanded page displays an interactive graphical dashboard</w:t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>
              <w:instrText xml:space="preserve"> XE "</w:instrText>
            </w:r>
            <w:r w:rsidRPr="00CB5A21">
              <w:instrText>dashboard</w:instrText>
            </w:r>
            <w:r>
              <w:instrText xml:space="preserve">"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t xml:space="preserve"> that provides more specific information for each claim type.</w:t>
            </w:r>
          </w:p>
        </w:tc>
      </w:tr>
      <w:tr w:rsidR="007E4EA2" w:rsidTr="00F74341">
        <w:trPr>
          <w:cantSplit/>
        </w:trPr>
        <w:tc>
          <w:tcPr>
            <w:tcW w:w="3910" w:type="dxa"/>
            <w:tcMar>
              <w:left w:w="0" w:type="dxa"/>
              <w:right w:w="0" w:type="dxa"/>
            </w:tcMar>
          </w:tcPr>
          <w:p w:rsidR="007E4EA2" w:rsidRPr="00E02A76" w:rsidRDefault="007E4EA2" w:rsidP="00F7434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2D186847" wp14:editId="1C65385F">
                  <wp:extent cx="2468880" cy="1593694"/>
                  <wp:effectExtent l="0" t="0" r="7620" b="6985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TS2018-Tile - Dashboard-Open Claims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8880" cy="15936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0" w:type="dxa"/>
          </w:tcPr>
          <w:p w:rsidR="007E4EA2" w:rsidRDefault="007E4EA2" w:rsidP="00F74341">
            <w:pPr>
              <w:spacing w:after="20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The Open Claims</w:t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>
              <w:instrText xml:space="preserve"> XE "</w:instrText>
            </w:r>
            <w:r w:rsidRPr="004F70E6">
              <w:instrText>Claims</w:instrText>
            </w:r>
            <w:r>
              <w:instrText xml:space="preserve">"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t xml:space="preserve"> Dashboard</w:t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>
              <w:instrText xml:space="preserve"> XE "</w:instrText>
            </w:r>
            <w:r w:rsidRPr="002B31BA">
              <w:rPr>
                <w:rFonts w:ascii="Arial" w:hAnsi="Arial" w:cs="Arial"/>
                <w:sz w:val="20"/>
                <w:szCs w:val="20"/>
              </w:rPr>
              <w:instrText>Dashboard</w:instrText>
            </w:r>
            <w:r>
              <w:instrText xml:space="preserve">"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t xml:space="preserve"> Tile provides a quick view of the overall number of currently open claims in the system, of each type.</w:t>
            </w:r>
          </w:p>
          <w:p w:rsidR="007E4EA2" w:rsidRPr="00E02A76" w:rsidRDefault="007E4EA2" w:rsidP="00F7434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The expanded page displays an interactive graphical dashboard</w:t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>
              <w:instrText xml:space="preserve"> XE "</w:instrText>
            </w:r>
            <w:r w:rsidRPr="00CB5A21">
              <w:instrText>dashboard</w:instrText>
            </w:r>
            <w:r>
              <w:instrText xml:space="preserve">"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t xml:space="preserve"> that provides more specific information on the breakdown of each type of claim.</w:t>
            </w:r>
          </w:p>
        </w:tc>
      </w:tr>
      <w:tr w:rsidR="007E4EA2" w:rsidTr="00F74341">
        <w:trPr>
          <w:cantSplit/>
        </w:trPr>
        <w:tc>
          <w:tcPr>
            <w:tcW w:w="3910" w:type="dxa"/>
            <w:tcMar>
              <w:left w:w="0" w:type="dxa"/>
              <w:right w:w="0" w:type="dxa"/>
            </w:tcMar>
          </w:tcPr>
          <w:p w:rsidR="007E4EA2" w:rsidRPr="00E02A76" w:rsidRDefault="007E4EA2" w:rsidP="00F7434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72306069" wp14:editId="44EF9C6C">
                  <wp:extent cx="2468880" cy="1546331"/>
                  <wp:effectExtent l="0" t="0" r="762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TS2018-Tile - EMail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8880" cy="1546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0" w:type="dxa"/>
          </w:tcPr>
          <w:p w:rsidR="007E4EA2" w:rsidRDefault="007E4EA2" w:rsidP="00F74341">
            <w:pPr>
              <w:spacing w:after="20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The Email Tile integrates with your email system to provide a list of current items in your inbox. Individual items can be opened and read. New email messages can also be created.</w:t>
            </w:r>
          </w:p>
          <w:p w:rsidR="007E4EA2" w:rsidRPr="00E02A76" w:rsidRDefault="007E4EA2" w:rsidP="00F7434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The expanded page provides access to a fully functional email manager that includes a calendar, task list and more.</w:t>
            </w:r>
          </w:p>
        </w:tc>
      </w:tr>
      <w:tr w:rsidR="007E4EA2" w:rsidTr="00F74341">
        <w:trPr>
          <w:cantSplit/>
        </w:trPr>
        <w:tc>
          <w:tcPr>
            <w:tcW w:w="3910" w:type="dxa"/>
            <w:tcMar>
              <w:left w:w="0" w:type="dxa"/>
              <w:right w:w="0" w:type="dxa"/>
            </w:tcMar>
          </w:tcPr>
          <w:p w:rsidR="007E4EA2" w:rsidRPr="00E02A76" w:rsidRDefault="007E4EA2" w:rsidP="00F7434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3750B3E0" wp14:editId="2E116DA5">
                  <wp:extent cx="2468880" cy="1546331"/>
                  <wp:effectExtent l="0" t="0" r="762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TS2018-Tile - Diaries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8880" cy="1546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0" w:type="dxa"/>
          </w:tcPr>
          <w:p w:rsidR="007E4EA2" w:rsidRDefault="007E4EA2" w:rsidP="00F74341">
            <w:pPr>
              <w:spacing w:after="20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The Diaries Tile provides a list of Diary</w:t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>
              <w:instrText xml:space="preserve"> XE "</w:instrText>
            </w:r>
            <w:r w:rsidRPr="002F55B1">
              <w:instrText>Diary</w:instrText>
            </w:r>
            <w:r>
              <w:instrText xml:space="preserve">"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t>/Workflow entries that are assigned to the current user. Entries are listed in chronological order by due date. Diaries can be opened, reviewed, marked as complete from the tile</w:t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>
              <w:instrText xml:space="preserve"> XE "</w:instrText>
            </w:r>
            <w:r w:rsidRPr="0078210B">
              <w:instrText>tile</w:instrText>
            </w:r>
            <w:r>
              <w:instrText xml:space="preserve">"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t xml:space="preserve"> and new Diary entries can be created.</w:t>
            </w:r>
          </w:p>
          <w:p w:rsidR="007E4EA2" w:rsidRPr="00E02A76" w:rsidRDefault="007E4EA2" w:rsidP="00F7434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The expanded page provides a complete list of all diaries for the current user and, if authorized, show diaries for members of a group.</w:t>
            </w:r>
          </w:p>
        </w:tc>
      </w:tr>
      <w:tr w:rsidR="007E4EA2" w:rsidTr="00F74341">
        <w:trPr>
          <w:cantSplit/>
        </w:trPr>
        <w:tc>
          <w:tcPr>
            <w:tcW w:w="3910" w:type="dxa"/>
            <w:tcMar>
              <w:left w:w="0" w:type="dxa"/>
              <w:right w:w="0" w:type="dxa"/>
            </w:tcMar>
          </w:tcPr>
          <w:p w:rsidR="007E4EA2" w:rsidRPr="00E02A76" w:rsidRDefault="007E4EA2" w:rsidP="00F7434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lastRenderedPageBreak/>
              <w:drawing>
                <wp:inline distT="0" distB="0" distL="0" distR="0" wp14:anchorId="6DA8218A" wp14:editId="661B99BA">
                  <wp:extent cx="2468880" cy="1546331"/>
                  <wp:effectExtent l="0" t="0" r="762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TS2018-Tile - Graph-WC Avg Claim Cost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8880" cy="1546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0" w:type="dxa"/>
          </w:tcPr>
          <w:p w:rsidR="007E4EA2" w:rsidRDefault="007E4EA2" w:rsidP="00F74341">
            <w:pPr>
              <w:spacing w:after="20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The WC Average Claim Cost Tile displays a graph that compares current, recent and historical cost data.</w:t>
            </w:r>
          </w:p>
          <w:p w:rsidR="007E4EA2" w:rsidRPr="00E02A76" w:rsidRDefault="007E4EA2" w:rsidP="00F7434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The expanded page shows a larger view of the graph.</w:t>
            </w:r>
          </w:p>
        </w:tc>
      </w:tr>
      <w:tr w:rsidR="007E4EA2" w:rsidTr="00F74341">
        <w:trPr>
          <w:cantSplit/>
        </w:trPr>
        <w:tc>
          <w:tcPr>
            <w:tcW w:w="3910" w:type="dxa"/>
            <w:tcMar>
              <w:left w:w="0" w:type="dxa"/>
              <w:right w:w="0" w:type="dxa"/>
            </w:tcMar>
          </w:tcPr>
          <w:p w:rsidR="007E4EA2" w:rsidRPr="00E02A76" w:rsidRDefault="007E4EA2" w:rsidP="00F7434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4BE5524E" wp14:editId="37935D18">
                  <wp:extent cx="2468880" cy="1593697"/>
                  <wp:effectExtent l="0" t="0" r="7620" b="6985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TS2018-Tile - Graph-WC Injury Date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8880" cy="15936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0" w:type="dxa"/>
          </w:tcPr>
          <w:p w:rsidR="007E4EA2" w:rsidRDefault="007E4EA2" w:rsidP="00F74341">
            <w:pPr>
              <w:spacing w:after="20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The WC Injury Date</w:t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>
              <w:instrText xml:space="preserve"> XE "</w:instrText>
            </w:r>
            <w:r w:rsidRPr="00D554FA">
              <w:rPr>
                <w:rFonts w:ascii="Arial" w:hAnsi="Arial" w:cs="Arial"/>
                <w:sz w:val="20"/>
                <w:szCs w:val="20"/>
              </w:rPr>
              <w:instrText>Injury Date</w:instrText>
            </w:r>
            <w:r>
              <w:instrText xml:space="preserve">"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t xml:space="preserve"> Tile displays a graph that shows the frequency of injuries by month.</w:t>
            </w:r>
          </w:p>
          <w:p w:rsidR="007E4EA2" w:rsidRPr="00E02A76" w:rsidRDefault="007E4EA2" w:rsidP="00F7434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The expanded page shows a larger view of the graph.</w:t>
            </w:r>
          </w:p>
        </w:tc>
      </w:tr>
      <w:tr w:rsidR="007E4EA2" w:rsidTr="00F74341">
        <w:trPr>
          <w:cantSplit/>
        </w:trPr>
        <w:tc>
          <w:tcPr>
            <w:tcW w:w="3910" w:type="dxa"/>
            <w:tcMar>
              <w:left w:w="0" w:type="dxa"/>
              <w:right w:w="0" w:type="dxa"/>
            </w:tcMar>
          </w:tcPr>
          <w:p w:rsidR="007E4EA2" w:rsidRPr="00E02A76" w:rsidRDefault="007E4EA2" w:rsidP="00F7434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2B6724A2" wp14:editId="2EF51632">
                  <wp:extent cx="2468880" cy="1593697"/>
                  <wp:effectExtent l="0" t="0" r="7620" b="6985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TS2018-Tile - Graph-WC Indemnity Reserves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8880" cy="15936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0" w:type="dxa"/>
          </w:tcPr>
          <w:p w:rsidR="007E4EA2" w:rsidRDefault="007E4EA2" w:rsidP="00F74341">
            <w:pPr>
              <w:spacing w:after="20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The WC Indemnity Reserves</w:t>
            </w:r>
            <w:r>
              <w:rPr>
                <w:rFonts w:ascii="Arial" w:hAnsi="Arial" w:cs="Arial"/>
                <w:sz w:val="20"/>
                <w:szCs w:val="20"/>
              </w:rPr>
              <w:fldChar w:fldCharType="begin"/>
            </w:r>
            <w:r>
              <w:instrText xml:space="preserve"> XE "</w:instrText>
            </w:r>
            <w:r w:rsidRPr="005D63AC">
              <w:instrText>Reserves</w:instrText>
            </w:r>
            <w:r>
              <w:instrText xml:space="preserve">" </w:instrText>
            </w:r>
            <w:r>
              <w:rPr>
                <w:rFonts w:ascii="Arial" w:hAnsi="Arial" w:cs="Arial"/>
                <w:sz w:val="20"/>
                <w:szCs w:val="20"/>
              </w:rPr>
              <w:fldChar w:fldCharType="end"/>
            </w:r>
            <w:r>
              <w:rPr>
                <w:rFonts w:ascii="Arial" w:hAnsi="Arial" w:cs="Arial"/>
                <w:sz w:val="20"/>
                <w:szCs w:val="20"/>
              </w:rPr>
              <w:t xml:space="preserve"> Tile displays a graph that compares Reserves, Paid-to-Date, and Future Reserves for all open claims.</w:t>
            </w:r>
          </w:p>
          <w:p w:rsidR="007E4EA2" w:rsidRPr="00E02A76" w:rsidRDefault="007E4EA2" w:rsidP="00F7434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The expanded page shows a larger view of the graph.</w:t>
            </w:r>
          </w:p>
        </w:tc>
      </w:tr>
      <w:tr w:rsidR="007E4EA2" w:rsidTr="00F74341">
        <w:trPr>
          <w:cantSplit/>
        </w:trPr>
        <w:tc>
          <w:tcPr>
            <w:tcW w:w="3910" w:type="dxa"/>
            <w:tcMar>
              <w:left w:w="0" w:type="dxa"/>
              <w:right w:w="0" w:type="dxa"/>
            </w:tcMar>
          </w:tcPr>
          <w:p w:rsidR="007E4EA2" w:rsidRPr="00E02A76" w:rsidRDefault="007E4EA2" w:rsidP="00F7434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0B61509D" wp14:editId="2F5E3F59">
                  <wp:extent cx="2468880" cy="1597192"/>
                  <wp:effectExtent l="0" t="0" r="7620" b="3175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TS2018-Tile - User Menu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8880" cy="15971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0" w:type="dxa"/>
          </w:tcPr>
          <w:p w:rsidR="007E4EA2" w:rsidRDefault="007E4EA2" w:rsidP="00F74341">
            <w:pPr>
              <w:spacing w:after="20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The User Menu Tile allows you to create a menu that contains only the menu items you select. You can add as many or as few items as you choose</w:t>
            </w:r>
            <w:proofErr w:type="gramStart"/>
            <w:r>
              <w:rPr>
                <w:rFonts w:ascii="Arial" w:hAnsi="Arial" w:cs="Arial"/>
                <w:sz w:val="20"/>
                <w:szCs w:val="20"/>
              </w:rPr>
              <w:t>,</w:t>
            </w:r>
            <w:proofErr w:type="gramEnd"/>
            <w:r>
              <w:rPr>
                <w:rFonts w:ascii="Arial" w:hAnsi="Arial" w:cs="Arial"/>
                <w:sz w:val="20"/>
                <w:szCs w:val="20"/>
              </w:rPr>
              <w:t xml:space="preserve"> in order to make your job as efficient as possible.</w:t>
            </w:r>
          </w:p>
          <w:p w:rsidR="007E4EA2" w:rsidRPr="00E02A76" w:rsidRDefault="007E4EA2" w:rsidP="00F7434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The expanded page displays the menu in a larger area.</w:t>
            </w:r>
          </w:p>
        </w:tc>
      </w:tr>
      <w:tr w:rsidR="007E4EA2" w:rsidTr="00F74341">
        <w:trPr>
          <w:cantSplit/>
        </w:trPr>
        <w:tc>
          <w:tcPr>
            <w:tcW w:w="3910" w:type="dxa"/>
            <w:tcMar>
              <w:left w:w="0" w:type="dxa"/>
              <w:right w:w="0" w:type="dxa"/>
            </w:tcMar>
          </w:tcPr>
          <w:p w:rsidR="007E4EA2" w:rsidRPr="00E02A76" w:rsidRDefault="007E4EA2" w:rsidP="00F7434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lastRenderedPageBreak/>
              <w:drawing>
                <wp:inline distT="0" distB="0" distL="0" distR="0" wp14:anchorId="4DB10888" wp14:editId="1BA12306">
                  <wp:extent cx="2468880" cy="1593697"/>
                  <wp:effectExtent l="0" t="0" r="7620" b="6985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TS2018-Tile - WC Menu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8880" cy="15936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0" w:type="dxa"/>
          </w:tcPr>
          <w:p w:rsidR="007E4EA2" w:rsidRDefault="007E4EA2" w:rsidP="00F74341">
            <w:pPr>
              <w:spacing w:after="20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The Workers’ Compensation Menu Tile contains all available menu items for the module.</w:t>
            </w:r>
          </w:p>
          <w:p w:rsidR="007E4EA2" w:rsidRPr="00E02A76" w:rsidRDefault="007E4EA2" w:rsidP="00F7434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The expanded page displays the menu in a larger area.</w:t>
            </w:r>
          </w:p>
        </w:tc>
      </w:tr>
      <w:tr w:rsidR="007E4EA2" w:rsidTr="00F74341">
        <w:trPr>
          <w:cantSplit/>
        </w:trPr>
        <w:tc>
          <w:tcPr>
            <w:tcW w:w="3910" w:type="dxa"/>
            <w:tcMar>
              <w:left w:w="0" w:type="dxa"/>
              <w:right w:w="0" w:type="dxa"/>
            </w:tcMar>
          </w:tcPr>
          <w:p w:rsidR="007E4EA2" w:rsidRPr="00E02A76" w:rsidRDefault="007E4EA2" w:rsidP="00F7434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0FC959F3" wp14:editId="3A8C7EAB">
                  <wp:extent cx="2468880" cy="1597197"/>
                  <wp:effectExtent l="0" t="0" r="7620" b="3175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TS2018-Tile - WC Menu-Events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8880" cy="15971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0" w:type="dxa"/>
          </w:tcPr>
          <w:p w:rsidR="007E4EA2" w:rsidRDefault="007E4EA2" w:rsidP="00F74341">
            <w:pPr>
              <w:spacing w:after="20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The WC Events Menu Tile contains only those menu items that are located on the Events tab of the Workers’ Compensation menu.</w:t>
            </w:r>
          </w:p>
          <w:p w:rsidR="007E4EA2" w:rsidRPr="00E02A76" w:rsidRDefault="007E4EA2" w:rsidP="00F7434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The expanded page displays the menu in a larger area.</w:t>
            </w:r>
          </w:p>
        </w:tc>
      </w:tr>
      <w:tr w:rsidR="007E4EA2" w:rsidTr="00F74341">
        <w:trPr>
          <w:cantSplit/>
        </w:trPr>
        <w:tc>
          <w:tcPr>
            <w:tcW w:w="3910" w:type="dxa"/>
            <w:tcMar>
              <w:left w:w="0" w:type="dxa"/>
              <w:right w:w="0" w:type="dxa"/>
            </w:tcMar>
          </w:tcPr>
          <w:p w:rsidR="007E4EA2" w:rsidRPr="00E02A76" w:rsidRDefault="007E4EA2" w:rsidP="00F7434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3AE43339" wp14:editId="5F8DE806">
                  <wp:extent cx="2468880" cy="1593694"/>
                  <wp:effectExtent l="0" t="0" r="7620" b="6985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TS2018-Tile - WC Menu-Process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8880" cy="15936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0" w:type="dxa"/>
          </w:tcPr>
          <w:p w:rsidR="007E4EA2" w:rsidRDefault="007E4EA2" w:rsidP="00F74341">
            <w:pPr>
              <w:spacing w:after="20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The WC Processing Menu Tile contains only those menu items that are located on the Process tab of the Workers’ Compensation menu.</w:t>
            </w:r>
          </w:p>
          <w:p w:rsidR="007E4EA2" w:rsidRPr="00E02A76" w:rsidRDefault="007E4EA2" w:rsidP="00F7434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The expanded page displays the menu in a larger area.</w:t>
            </w:r>
          </w:p>
        </w:tc>
      </w:tr>
      <w:tr w:rsidR="007E4EA2" w:rsidTr="00F74341">
        <w:trPr>
          <w:cantSplit/>
        </w:trPr>
        <w:tc>
          <w:tcPr>
            <w:tcW w:w="3910" w:type="dxa"/>
            <w:tcMar>
              <w:left w:w="0" w:type="dxa"/>
              <w:right w:w="0" w:type="dxa"/>
            </w:tcMar>
          </w:tcPr>
          <w:p w:rsidR="007E4EA2" w:rsidRPr="00E02A76" w:rsidRDefault="007E4EA2" w:rsidP="00F7434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620B119C" wp14:editId="5DAF68EF">
                  <wp:extent cx="2468880" cy="1597197"/>
                  <wp:effectExtent l="0" t="0" r="7620" b="3175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TS2018-Tile - WC Menu-Report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8880" cy="15971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0" w:type="dxa"/>
          </w:tcPr>
          <w:p w:rsidR="007E4EA2" w:rsidRDefault="007E4EA2" w:rsidP="00F74341">
            <w:pPr>
              <w:spacing w:after="20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The WC Report Menu Tile contains only those menu items that are located on the Reports tab of the Workers’ Compensation menu.</w:t>
            </w:r>
          </w:p>
          <w:p w:rsidR="007E4EA2" w:rsidRPr="00E02A76" w:rsidRDefault="007E4EA2" w:rsidP="00F7434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The expanded page displays the menu in a larger area.</w:t>
            </w:r>
          </w:p>
        </w:tc>
      </w:tr>
      <w:tr w:rsidR="007E4EA2" w:rsidTr="00F74341">
        <w:trPr>
          <w:cantSplit/>
        </w:trPr>
        <w:tc>
          <w:tcPr>
            <w:tcW w:w="3910" w:type="dxa"/>
            <w:tcMar>
              <w:left w:w="0" w:type="dxa"/>
              <w:right w:w="0" w:type="dxa"/>
            </w:tcMar>
          </w:tcPr>
          <w:p w:rsidR="007E4EA2" w:rsidRPr="00E02A76" w:rsidRDefault="007E4EA2" w:rsidP="00F7434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lastRenderedPageBreak/>
              <w:drawing>
                <wp:inline distT="0" distB="0" distL="0" distR="0" wp14:anchorId="2D597BCE" wp14:editId="5CEF65A7">
                  <wp:extent cx="2468880" cy="1597197"/>
                  <wp:effectExtent l="0" t="0" r="7620" b="3175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TS2018-Tile - WC Menu-Maintain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8880" cy="15971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0" w:type="dxa"/>
          </w:tcPr>
          <w:p w:rsidR="007E4EA2" w:rsidRDefault="007E4EA2" w:rsidP="00F74341">
            <w:pPr>
              <w:spacing w:after="20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The WC Maintenance Menu Tile contains only those menu items that are located on the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Maint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tab of the Workers’ Compensation menu.</w:t>
            </w:r>
          </w:p>
          <w:p w:rsidR="007E4EA2" w:rsidRPr="00E02A76" w:rsidRDefault="007E4EA2" w:rsidP="00F7434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The expanded page displays the menu in a larger area.</w:t>
            </w:r>
          </w:p>
        </w:tc>
      </w:tr>
      <w:tr w:rsidR="007E4EA2" w:rsidTr="00F74341">
        <w:trPr>
          <w:cantSplit/>
        </w:trPr>
        <w:tc>
          <w:tcPr>
            <w:tcW w:w="3910" w:type="dxa"/>
            <w:tcMar>
              <w:left w:w="0" w:type="dxa"/>
              <w:right w:w="0" w:type="dxa"/>
            </w:tcMar>
          </w:tcPr>
          <w:p w:rsidR="007E4EA2" w:rsidRPr="00E02A76" w:rsidRDefault="007E4EA2" w:rsidP="00F7434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671B8D02" wp14:editId="26FD81A9">
                  <wp:extent cx="2468880" cy="1593694"/>
                  <wp:effectExtent l="0" t="0" r="7620" b="6985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TS2018-Tile - WC Menu-Admin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8880" cy="15936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0" w:type="dxa"/>
          </w:tcPr>
          <w:p w:rsidR="007E4EA2" w:rsidRDefault="007E4EA2" w:rsidP="00F74341">
            <w:pPr>
              <w:spacing w:after="20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The WC Administration Menu Tile contains only those menu items that are located on the Admin tab of the Workers’ Compensation menu.</w:t>
            </w:r>
          </w:p>
          <w:p w:rsidR="007E4EA2" w:rsidRPr="00E02A76" w:rsidRDefault="007E4EA2" w:rsidP="00F7434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The expanded page displays the menu in a larger area.</w:t>
            </w:r>
          </w:p>
        </w:tc>
      </w:tr>
    </w:tbl>
    <w:p w:rsidR="00F52BC8" w:rsidRDefault="007E4EA2"/>
    <w:sectPr w:rsidR="00F52BC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pperplate Gothic Bold">
    <w:panose1 w:val="020E0705020206020404"/>
    <w:charset w:val="00"/>
    <w:family w:val="swiss"/>
    <w:pitch w:val="variable"/>
    <w:sig w:usb0="00000003" w:usb1="00000000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2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E4EA2"/>
    <w:rsid w:val="007E4EA2"/>
    <w:rsid w:val="009F7CC6"/>
    <w:rsid w:val="00F17D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E4EA2"/>
    <w:pPr>
      <w:spacing w:after="0" w:line="240" w:lineRule="auto"/>
      <w:jc w:val="both"/>
    </w:pPr>
    <w:rPr>
      <w:rFonts w:ascii="Times New Roman" w:hAnsi="Times New Roman"/>
      <w:sz w:val="2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E4EA2"/>
    <w:pPr>
      <w:keepNext/>
      <w:keepLines/>
      <w:spacing w:before="480" w:after="240"/>
      <w:outlineLvl w:val="1"/>
    </w:pPr>
    <w:rPr>
      <w:rFonts w:ascii="Copperplate Gothic Bold" w:eastAsiaTheme="majorEastAsia" w:hAnsi="Copperplate Gothic Bold" w:cstheme="majorBidi"/>
      <w:b/>
      <w:bCs/>
      <w:caps/>
      <w:color w:val="365F91" w:themeColor="accent1" w:themeShade="BF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E4EA2"/>
    <w:pPr>
      <w:keepNext/>
      <w:keepLines/>
      <w:spacing w:after="240"/>
      <w:ind w:left="360" w:right="360"/>
      <w:outlineLvl w:val="2"/>
    </w:pPr>
    <w:rPr>
      <w:rFonts w:ascii="Copperplate Gothic Bold" w:eastAsiaTheme="majorEastAsia" w:hAnsi="Copperplate Gothic Bold" w:cstheme="majorBidi"/>
      <w:b/>
      <w:bCs/>
      <w:color w:val="365F91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7E4EA2"/>
    <w:rPr>
      <w:rFonts w:ascii="Copperplate Gothic Bold" w:eastAsiaTheme="majorEastAsia" w:hAnsi="Copperplate Gothic Bold" w:cstheme="majorBidi"/>
      <w:b/>
      <w:bCs/>
      <w:caps/>
      <w:color w:val="365F91" w:themeColor="accent1" w:themeShade="BF"/>
      <w:sz w:val="24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7E4EA2"/>
    <w:rPr>
      <w:rFonts w:ascii="Copperplate Gothic Bold" w:eastAsiaTheme="majorEastAsia" w:hAnsi="Copperplate Gothic Bold" w:cstheme="majorBidi"/>
      <w:b/>
      <w:bCs/>
      <w:color w:val="365F91" w:themeColor="accent1" w:themeShade="BF"/>
      <w:sz w:val="24"/>
    </w:rPr>
  </w:style>
  <w:style w:type="table" w:styleId="TableGrid">
    <w:name w:val="Table Grid"/>
    <w:basedOn w:val="TableNormal"/>
    <w:uiPriority w:val="59"/>
    <w:rsid w:val="007E4EA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igureCaption">
    <w:name w:val="Figure Caption"/>
    <w:basedOn w:val="Normal"/>
    <w:next w:val="Normal"/>
    <w:link w:val="FigureCaptionChar"/>
    <w:qFormat/>
    <w:rsid w:val="007E4EA2"/>
    <w:pPr>
      <w:spacing w:before="120" w:after="240"/>
      <w:jc w:val="center"/>
    </w:pPr>
    <w:rPr>
      <w:b/>
      <w:color w:val="365F91" w:themeColor="accent1" w:themeShade="BF"/>
      <w:sz w:val="22"/>
    </w:rPr>
  </w:style>
  <w:style w:type="character" w:customStyle="1" w:styleId="FigureCaptionChar">
    <w:name w:val="Figure Caption Char"/>
    <w:basedOn w:val="DefaultParagraphFont"/>
    <w:link w:val="FigureCaption"/>
    <w:rsid w:val="007E4EA2"/>
    <w:rPr>
      <w:rFonts w:ascii="Times New Roman" w:hAnsi="Times New Roman"/>
      <w:b/>
      <w:color w:val="365F91" w:themeColor="accent1" w:themeShade="BF"/>
    </w:rPr>
  </w:style>
  <w:style w:type="paragraph" w:customStyle="1" w:styleId="Button">
    <w:name w:val="Button"/>
    <w:basedOn w:val="Normal"/>
    <w:link w:val="ButtonChar"/>
    <w:qFormat/>
    <w:rsid w:val="007E4EA2"/>
    <w:pPr>
      <w:spacing w:before="240" w:after="200"/>
    </w:pPr>
    <w:rPr>
      <w:rFonts w:ascii="Arial Narrow" w:hAnsi="Arial Narrow" w:cs="Arial"/>
      <w:b/>
      <w:caps/>
      <w:color w:val="4483D0"/>
      <w:sz w:val="20"/>
    </w:rPr>
  </w:style>
  <w:style w:type="character" w:customStyle="1" w:styleId="ButtonChar">
    <w:name w:val="Button Char"/>
    <w:basedOn w:val="DefaultParagraphFont"/>
    <w:link w:val="Button"/>
    <w:rsid w:val="007E4EA2"/>
    <w:rPr>
      <w:rFonts w:ascii="Arial Narrow" w:hAnsi="Arial Narrow" w:cs="Arial"/>
      <w:b/>
      <w:caps/>
      <w:color w:val="4483D0"/>
      <w:sz w:val="20"/>
    </w:rPr>
  </w:style>
  <w:style w:type="paragraph" w:customStyle="1" w:styleId="PageName">
    <w:name w:val="Page Name"/>
    <w:basedOn w:val="Normal"/>
    <w:link w:val="PageNameChar"/>
    <w:qFormat/>
    <w:rsid w:val="007E4EA2"/>
    <w:pPr>
      <w:spacing w:after="240"/>
    </w:pPr>
    <w:rPr>
      <w:rFonts w:ascii="Arial" w:hAnsi="Arial"/>
      <w:sz w:val="20"/>
    </w:rPr>
  </w:style>
  <w:style w:type="character" w:customStyle="1" w:styleId="PageNameChar">
    <w:name w:val="Page Name Char"/>
    <w:basedOn w:val="DefaultParagraphFont"/>
    <w:link w:val="PageName"/>
    <w:rsid w:val="007E4EA2"/>
    <w:rPr>
      <w:rFonts w:ascii="Arial" w:hAnsi="Arial"/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E4EA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E4EA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E4EA2"/>
    <w:pPr>
      <w:spacing w:after="0" w:line="240" w:lineRule="auto"/>
      <w:jc w:val="both"/>
    </w:pPr>
    <w:rPr>
      <w:rFonts w:ascii="Times New Roman" w:hAnsi="Times New Roman"/>
      <w:sz w:val="2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E4EA2"/>
    <w:pPr>
      <w:keepNext/>
      <w:keepLines/>
      <w:spacing w:before="480" w:after="240"/>
      <w:outlineLvl w:val="1"/>
    </w:pPr>
    <w:rPr>
      <w:rFonts w:ascii="Copperplate Gothic Bold" w:eastAsiaTheme="majorEastAsia" w:hAnsi="Copperplate Gothic Bold" w:cstheme="majorBidi"/>
      <w:b/>
      <w:bCs/>
      <w:caps/>
      <w:color w:val="365F91" w:themeColor="accent1" w:themeShade="BF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E4EA2"/>
    <w:pPr>
      <w:keepNext/>
      <w:keepLines/>
      <w:spacing w:after="240"/>
      <w:ind w:left="360" w:right="360"/>
      <w:outlineLvl w:val="2"/>
    </w:pPr>
    <w:rPr>
      <w:rFonts w:ascii="Copperplate Gothic Bold" w:eastAsiaTheme="majorEastAsia" w:hAnsi="Copperplate Gothic Bold" w:cstheme="majorBidi"/>
      <w:b/>
      <w:bCs/>
      <w:color w:val="365F91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7E4EA2"/>
    <w:rPr>
      <w:rFonts w:ascii="Copperplate Gothic Bold" w:eastAsiaTheme="majorEastAsia" w:hAnsi="Copperplate Gothic Bold" w:cstheme="majorBidi"/>
      <w:b/>
      <w:bCs/>
      <w:caps/>
      <w:color w:val="365F91" w:themeColor="accent1" w:themeShade="BF"/>
      <w:sz w:val="24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7E4EA2"/>
    <w:rPr>
      <w:rFonts w:ascii="Copperplate Gothic Bold" w:eastAsiaTheme="majorEastAsia" w:hAnsi="Copperplate Gothic Bold" w:cstheme="majorBidi"/>
      <w:b/>
      <w:bCs/>
      <w:color w:val="365F91" w:themeColor="accent1" w:themeShade="BF"/>
      <w:sz w:val="24"/>
    </w:rPr>
  </w:style>
  <w:style w:type="table" w:styleId="TableGrid">
    <w:name w:val="Table Grid"/>
    <w:basedOn w:val="TableNormal"/>
    <w:uiPriority w:val="59"/>
    <w:rsid w:val="007E4EA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igureCaption">
    <w:name w:val="Figure Caption"/>
    <w:basedOn w:val="Normal"/>
    <w:next w:val="Normal"/>
    <w:link w:val="FigureCaptionChar"/>
    <w:qFormat/>
    <w:rsid w:val="007E4EA2"/>
    <w:pPr>
      <w:spacing w:before="120" w:after="240"/>
      <w:jc w:val="center"/>
    </w:pPr>
    <w:rPr>
      <w:b/>
      <w:color w:val="365F91" w:themeColor="accent1" w:themeShade="BF"/>
      <w:sz w:val="22"/>
    </w:rPr>
  </w:style>
  <w:style w:type="character" w:customStyle="1" w:styleId="FigureCaptionChar">
    <w:name w:val="Figure Caption Char"/>
    <w:basedOn w:val="DefaultParagraphFont"/>
    <w:link w:val="FigureCaption"/>
    <w:rsid w:val="007E4EA2"/>
    <w:rPr>
      <w:rFonts w:ascii="Times New Roman" w:hAnsi="Times New Roman"/>
      <w:b/>
      <w:color w:val="365F91" w:themeColor="accent1" w:themeShade="BF"/>
    </w:rPr>
  </w:style>
  <w:style w:type="paragraph" w:customStyle="1" w:styleId="Button">
    <w:name w:val="Button"/>
    <w:basedOn w:val="Normal"/>
    <w:link w:val="ButtonChar"/>
    <w:qFormat/>
    <w:rsid w:val="007E4EA2"/>
    <w:pPr>
      <w:spacing w:before="240" w:after="200"/>
    </w:pPr>
    <w:rPr>
      <w:rFonts w:ascii="Arial Narrow" w:hAnsi="Arial Narrow" w:cs="Arial"/>
      <w:b/>
      <w:caps/>
      <w:color w:val="4483D0"/>
      <w:sz w:val="20"/>
    </w:rPr>
  </w:style>
  <w:style w:type="character" w:customStyle="1" w:styleId="ButtonChar">
    <w:name w:val="Button Char"/>
    <w:basedOn w:val="DefaultParagraphFont"/>
    <w:link w:val="Button"/>
    <w:rsid w:val="007E4EA2"/>
    <w:rPr>
      <w:rFonts w:ascii="Arial Narrow" w:hAnsi="Arial Narrow" w:cs="Arial"/>
      <w:b/>
      <w:caps/>
      <w:color w:val="4483D0"/>
      <w:sz w:val="20"/>
    </w:rPr>
  </w:style>
  <w:style w:type="paragraph" w:customStyle="1" w:styleId="PageName">
    <w:name w:val="Page Name"/>
    <w:basedOn w:val="Normal"/>
    <w:link w:val="PageNameChar"/>
    <w:qFormat/>
    <w:rsid w:val="007E4EA2"/>
    <w:pPr>
      <w:spacing w:after="240"/>
    </w:pPr>
    <w:rPr>
      <w:rFonts w:ascii="Arial" w:hAnsi="Arial"/>
      <w:sz w:val="20"/>
    </w:rPr>
  </w:style>
  <w:style w:type="character" w:customStyle="1" w:styleId="PageNameChar">
    <w:name w:val="Page Name Char"/>
    <w:basedOn w:val="DefaultParagraphFont"/>
    <w:link w:val="PageName"/>
    <w:rsid w:val="007E4EA2"/>
    <w:rPr>
      <w:rFonts w:ascii="Arial" w:hAnsi="Arial"/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E4EA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E4EA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1288</Words>
  <Characters>7343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1</cp:revision>
  <dcterms:created xsi:type="dcterms:W3CDTF">2019-09-29T17:21:00Z</dcterms:created>
  <dcterms:modified xsi:type="dcterms:W3CDTF">2019-09-29T17:22:00Z</dcterms:modified>
</cp:coreProperties>
</file>