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A8B33" w14:textId="7A3D0D50" w:rsidR="00BC73BD" w:rsidRPr="004A7683" w:rsidRDefault="00007ED1" w:rsidP="00BC73BD">
      <w:pPr>
        <w:pStyle w:val="Heading1"/>
        <w:rPr>
          <w:rFonts w:ascii="Cambria" w:hAnsi="Cambria"/>
          <w:b/>
          <w:bCs/>
          <w:color w:val="365F91"/>
          <w:sz w:val="48"/>
          <w:szCs w:val="48"/>
        </w:rPr>
      </w:pPr>
      <w:r w:rsidRPr="004A7683">
        <w:rPr>
          <w:rFonts w:ascii="Cambria" w:hAnsi="Cambria"/>
          <w:b/>
          <w:bCs/>
          <w:color w:val="365F91"/>
          <w:sz w:val="48"/>
          <w:szCs w:val="48"/>
        </w:rPr>
        <w:t>Email</w:t>
      </w:r>
    </w:p>
    <w:p w14:paraId="12AC6E6E" w14:textId="77777777" w:rsidR="00007ED1" w:rsidRDefault="00007ED1" w:rsidP="00007ED1"/>
    <w:p w14:paraId="2DB8B9C9" w14:textId="2E516ED6" w:rsidR="00007ED1" w:rsidRDefault="00007ED1" w:rsidP="00007ED1">
      <w:r>
        <w:t>M</w:t>
      </w:r>
      <w:r w:rsidR="006A117A">
        <w:t xml:space="preserve">any </w:t>
      </w:r>
      <w:r>
        <w:t xml:space="preserve">screens contain an email option on the tool bar </w:t>
      </w:r>
      <w:r w:rsidR="006A117A">
        <w:t>and</w:t>
      </w:r>
      <w:r>
        <w:t xml:space="preserve"> next to email field</w:t>
      </w:r>
      <w:r w:rsidR="00621BE2">
        <w:t>s</w:t>
      </w:r>
      <w:r w:rsidR="00B86E95">
        <w:t xml:space="preserve"> on </w:t>
      </w:r>
      <w:r w:rsidR="006A117A">
        <w:t>the</w:t>
      </w:r>
      <w:r w:rsidR="00B86E95">
        <w:t xml:space="preserve"> screen</w:t>
      </w:r>
      <w:r>
        <w:t>.</w:t>
      </w:r>
      <w:r w:rsidR="006A117A">
        <w:t xml:space="preserve">   The inten</w:t>
      </w:r>
      <w:r w:rsidR="00621BE2">
        <w:t xml:space="preserve">t is </w:t>
      </w:r>
      <w:r w:rsidR="006A117A">
        <w:t>to help quickly create an email by pulling in related data</w:t>
      </w:r>
      <w:r w:rsidR="00621BE2">
        <w:t xml:space="preserve"> formatted with user defined t</w:t>
      </w:r>
      <w:r w:rsidR="000B0CAB">
        <w:t>emplates</w:t>
      </w:r>
      <w:r w:rsidR="00621BE2">
        <w:t>.</w:t>
      </w:r>
      <w:r w:rsidR="000B0CAB">
        <w:t xml:space="preserve"> </w:t>
      </w:r>
    </w:p>
    <w:p w14:paraId="24610ED3" w14:textId="77777777" w:rsidR="00007ED1" w:rsidRDefault="00007ED1" w:rsidP="00007ED1"/>
    <w:p w14:paraId="4E48A3F3" w14:textId="036A6FC5" w:rsidR="00007ED1" w:rsidRDefault="00D6201B" w:rsidP="00007ED1">
      <w:r>
        <w:t>For</w:t>
      </w:r>
      <w:r w:rsidR="00007ED1">
        <w:t xml:space="preserve"> example, the vendor </w:t>
      </w:r>
      <w:r w:rsidR="00D750A6">
        <w:t xml:space="preserve">data entry </w:t>
      </w:r>
      <w:r w:rsidR="00007ED1">
        <w:t xml:space="preserve">screen has an </w:t>
      </w:r>
      <w:r w:rsidR="00007ED1" w:rsidRPr="00007ED1">
        <w:rPr>
          <w:b/>
          <w:bCs/>
          <w:color w:val="4C94D8" w:themeColor="text2" w:themeTint="80"/>
        </w:rPr>
        <w:t>Email</w:t>
      </w:r>
      <w:r w:rsidR="00007ED1" w:rsidRPr="00007ED1">
        <w:rPr>
          <w:color w:val="4C94D8" w:themeColor="text2" w:themeTint="80"/>
        </w:rPr>
        <w:t xml:space="preserve"> </w:t>
      </w:r>
      <w:r w:rsidR="00007ED1">
        <w:t>button on the tool bar and</w:t>
      </w:r>
      <w:r w:rsidR="002955BA">
        <w:t xml:space="preserve"> a red</w:t>
      </w:r>
      <w:r w:rsidR="002955BA">
        <w:rPr>
          <w:noProof/>
        </w:rPr>
        <w:t xml:space="preserve"> </w:t>
      </w:r>
      <w:r w:rsidR="002955BA">
        <w:rPr>
          <w:noProof/>
        </w:rPr>
        <w:drawing>
          <wp:inline distT="0" distB="0" distL="0" distR="0" wp14:anchorId="1F5C1168" wp14:editId="3B7E67F1">
            <wp:extent cx="152805" cy="123825"/>
            <wp:effectExtent l="0" t="0" r="0" b="0"/>
            <wp:docPr id="830995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954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106" cy="1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BA">
        <w:t xml:space="preserve"> button next to the </w:t>
      </w:r>
      <w:r w:rsidR="002955BA" w:rsidRPr="00007ED1">
        <w:rPr>
          <w:b/>
          <w:bCs/>
          <w:color w:val="4C94D8" w:themeColor="text2" w:themeTint="80"/>
        </w:rPr>
        <w:t>Email</w:t>
      </w:r>
      <w:r w:rsidR="002955BA">
        <w:rPr>
          <w:b/>
          <w:bCs/>
          <w:color w:val="4C94D8" w:themeColor="text2" w:themeTint="80"/>
        </w:rPr>
        <w:t xml:space="preserve"> </w:t>
      </w:r>
      <w:r w:rsidR="002955BA">
        <w:t>field on the screen.</w:t>
      </w:r>
      <w:r w:rsidR="009120B9">
        <w:t xml:space="preserve">  If the user selects the toolbar </w:t>
      </w:r>
      <w:r w:rsidR="006363C2" w:rsidRPr="006363C2">
        <w:rPr>
          <w:color w:val="4C94D8" w:themeColor="text2" w:themeTint="80"/>
        </w:rPr>
        <w:t xml:space="preserve">Email </w:t>
      </w:r>
      <w:r w:rsidR="009120B9">
        <w:t xml:space="preserve">button and a </w:t>
      </w:r>
      <w:r w:rsidR="00B4456C">
        <w:t xml:space="preserve">default </w:t>
      </w:r>
      <w:r w:rsidR="009120B9">
        <w:t>template is defined for the main table being edited</w:t>
      </w:r>
      <w:r w:rsidR="00EE531E">
        <w:t>,</w:t>
      </w:r>
      <w:r w:rsidR="009120B9">
        <w:t xml:space="preserve"> </w:t>
      </w:r>
      <w:r w:rsidR="00F64205">
        <w:t>in this case the vendor table</w:t>
      </w:r>
      <w:r w:rsidR="009120B9">
        <w:t xml:space="preserve">, then the email </w:t>
      </w:r>
      <w:r w:rsidR="00B34BB4">
        <w:t>page</w:t>
      </w:r>
      <w:r w:rsidR="009120B9">
        <w:t xml:space="preserve"> will open with the subject and body text already filled in</w:t>
      </w:r>
      <w:r w:rsidR="00F64205">
        <w:t xml:space="preserve"> as defined by the </w:t>
      </w:r>
      <w:r>
        <w:t xml:space="preserve">default </w:t>
      </w:r>
      <w:r w:rsidR="00F64205">
        <w:t>template</w:t>
      </w:r>
      <w:r w:rsidR="006363C2">
        <w:t xml:space="preserve"> specifically created for the vendor table</w:t>
      </w:r>
      <w:r w:rsidR="009120B9">
        <w:t>.</w:t>
      </w:r>
    </w:p>
    <w:p w14:paraId="55B7EA2E" w14:textId="241865E8" w:rsidR="00007ED1" w:rsidRDefault="007639CD" w:rsidP="00007ED1">
      <w:r>
        <w:rPr>
          <w:noProof/>
        </w:rPr>
        <w:drawing>
          <wp:inline distT="0" distB="0" distL="0" distR="0" wp14:anchorId="66E03217" wp14:editId="39967932">
            <wp:extent cx="12068839" cy="3224463"/>
            <wp:effectExtent l="0" t="0" r="0" b="0"/>
            <wp:docPr id="557609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524" cy="32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EF38" w14:textId="77777777" w:rsidR="00D6201B" w:rsidRDefault="00D6201B" w:rsidP="006A56E0"/>
    <w:p w14:paraId="6BA08524" w14:textId="0FEF0398" w:rsidR="006A56E0" w:rsidRDefault="00D6201B" w:rsidP="006A56E0">
      <w:r>
        <w:t xml:space="preserve">Here the default </w:t>
      </w:r>
      <w:r w:rsidR="00560831">
        <w:t>vendor</w:t>
      </w:r>
      <w:r w:rsidR="006A56E0">
        <w:t xml:space="preserve"> template </w:t>
      </w:r>
      <w:r w:rsidR="00560831">
        <w:t xml:space="preserve">was </w:t>
      </w:r>
      <w:r>
        <w:t>set up</w:t>
      </w:r>
      <w:r w:rsidR="00560831">
        <w:t xml:space="preserve"> to </w:t>
      </w:r>
      <w:r w:rsidR="00004B09">
        <w:t>use</w:t>
      </w:r>
      <w:r w:rsidR="006A56E0">
        <w:t xml:space="preserve"> three queries to return the total </w:t>
      </w:r>
      <w:r w:rsidR="00E146A8">
        <w:t xml:space="preserve">of </w:t>
      </w:r>
      <w:proofErr w:type="gramStart"/>
      <w:r w:rsidR="00E146A8">
        <w:t>all payments</w:t>
      </w:r>
      <w:proofErr w:type="gramEnd"/>
      <w:r w:rsidR="006A56E0">
        <w:t xml:space="preserve"> to the </w:t>
      </w:r>
      <w:r w:rsidR="00E146A8">
        <w:t xml:space="preserve">specific </w:t>
      </w:r>
      <w:r w:rsidR="006A56E0">
        <w:t>vendor, the number of vendors</w:t>
      </w:r>
      <w:r w:rsidR="00E146A8">
        <w:t xml:space="preserve"> in the entire system</w:t>
      </w:r>
      <w:r w:rsidR="006A56E0">
        <w:t xml:space="preserve"> that are flagged as hospitals, </w:t>
      </w:r>
      <w:r w:rsidR="008405AF">
        <w:t>and</w:t>
      </w:r>
      <w:r w:rsidR="006A56E0">
        <w:t xml:space="preserve"> the number of vendors</w:t>
      </w:r>
      <w:r w:rsidR="00E146A8">
        <w:t xml:space="preserve"> in the entire system</w:t>
      </w:r>
      <w:r w:rsidR="006A56E0">
        <w:t xml:space="preserve"> flagged as pharmacy.</w:t>
      </w:r>
    </w:p>
    <w:p w14:paraId="27962125" w14:textId="77777777" w:rsidR="006A56E0" w:rsidRDefault="006A56E0" w:rsidP="006A56E0">
      <w:r>
        <w:rPr>
          <w:noProof/>
        </w:rPr>
        <w:drawing>
          <wp:inline distT="0" distB="0" distL="0" distR="0" wp14:anchorId="3EF1599C" wp14:editId="3AB513D3">
            <wp:extent cx="5481955" cy="4605655"/>
            <wp:effectExtent l="0" t="0" r="4445" b="4445"/>
            <wp:docPr id="736243838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43838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2F91" w14:textId="77777777" w:rsidR="006A56E0" w:rsidRDefault="006A56E0" w:rsidP="006A56E0"/>
    <w:p w14:paraId="52463202" w14:textId="7479724B" w:rsidR="006A56E0" w:rsidRDefault="00D6201B" w:rsidP="006A56E0">
      <w:r>
        <w:t>This shows t</w:t>
      </w:r>
      <w:r w:rsidR="00B4456C">
        <w:t>wo o</w:t>
      </w:r>
      <w:r w:rsidR="006A56E0">
        <w:t xml:space="preserve">ther templates set up for the vendor </w:t>
      </w:r>
      <w:r w:rsidR="00B4456C">
        <w:t>table</w:t>
      </w:r>
      <w:r>
        <w:t xml:space="preserve"> besides the default</w:t>
      </w:r>
      <w:r w:rsidR="00B4456C">
        <w:t>.   The user can select a different one from the</w:t>
      </w:r>
      <w:r w:rsidR="006A56E0">
        <w:t xml:space="preserve"> </w:t>
      </w:r>
      <w:r w:rsidR="006A56E0" w:rsidRPr="006A56E0">
        <w:rPr>
          <w:color w:val="4C94D8" w:themeColor="text2" w:themeTint="80"/>
        </w:rPr>
        <w:t>Template</w:t>
      </w:r>
      <w:r w:rsidR="006A56E0">
        <w:t xml:space="preserve"> drop-down</w:t>
      </w:r>
      <w:r w:rsidR="002D42AA">
        <w:t xml:space="preserve"> to re-populate the subject and body text</w:t>
      </w:r>
      <w:r w:rsidR="006A56E0">
        <w:t>.   The templates are user definable, and an unlimited number of templates can be defined for a specific table</w:t>
      </w:r>
      <w:r w:rsidR="00601E93">
        <w:t xml:space="preserve"> or field on that table</w:t>
      </w:r>
      <w:r w:rsidR="006A56E0">
        <w:t xml:space="preserve">. </w:t>
      </w:r>
    </w:p>
    <w:p w14:paraId="26C47609" w14:textId="331E65E6" w:rsidR="006A56E0" w:rsidRDefault="006A56E0" w:rsidP="00007ED1">
      <w:r>
        <w:rPr>
          <w:noProof/>
        </w:rPr>
        <w:drawing>
          <wp:inline distT="0" distB="0" distL="0" distR="0" wp14:anchorId="4A7203E7" wp14:editId="1AF138D8">
            <wp:extent cx="5334000" cy="2318267"/>
            <wp:effectExtent l="0" t="0" r="0" b="6350"/>
            <wp:docPr id="17733882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01" cy="23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7B3A" w14:textId="77777777" w:rsidR="00873BAD" w:rsidRDefault="00873BAD" w:rsidP="00007ED1"/>
    <w:p w14:paraId="2C206625" w14:textId="77777777" w:rsidR="00873BAD" w:rsidRDefault="00873BAD" w:rsidP="00007ED1"/>
    <w:p w14:paraId="75A39535" w14:textId="69D03946" w:rsidR="00873BAD" w:rsidRDefault="000772AF" w:rsidP="00873BAD">
      <w:r>
        <w:t>For another</w:t>
      </w:r>
      <w:r w:rsidR="00A0597E">
        <w:t xml:space="preserve"> </w:t>
      </w:r>
      <w:r w:rsidR="006A7201">
        <w:t>example,</w:t>
      </w:r>
      <w:r w:rsidR="00A0597E">
        <w:t xml:space="preserve"> </w:t>
      </w:r>
      <w:r w:rsidR="00873BAD">
        <w:t xml:space="preserve">the red </w:t>
      </w:r>
      <w:r w:rsidR="00873BAD">
        <w:rPr>
          <w:noProof/>
        </w:rPr>
        <w:drawing>
          <wp:inline distT="0" distB="0" distL="0" distR="0" wp14:anchorId="2065B1A9" wp14:editId="785D56CA">
            <wp:extent cx="152805" cy="123825"/>
            <wp:effectExtent l="0" t="0" r="0" b="0"/>
            <wp:docPr id="1736553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954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106" cy="1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BAD">
        <w:t xml:space="preserve"> button on the </w:t>
      </w:r>
      <w:r w:rsidR="00A0597E">
        <w:t xml:space="preserve">vendor data entry </w:t>
      </w:r>
      <w:r w:rsidR="00873BAD">
        <w:t xml:space="preserve">screen </w:t>
      </w:r>
      <w:r w:rsidR="00A0597E">
        <w:t>wa</w:t>
      </w:r>
      <w:r w:rsidR="00873BAD">
        <w:t>s used</w:t>
      </w:r>
      <w:r w:rsidR="006473D8">
        <w:t xml:space="preserve"> </w:t>
      </w:r>
      <w:r w:rsidR="006A7201">
        <w:t>to open the email screen.  T</w:t>
      </w:r>
      <w:r w:rsidR="00873BAD">
        <w:t xml:space="preserve">he default template defined for </w:t>
      </w:r>
      <w:r w:rsidR="00C65BD0">
        <w:t xml:space="preserve">the </w:t>
      </w:r>
      <w:r w:rsidR="0086738A">
        <w:t xml:space="preserve">vendor </w:t>
      </w:r>
      <w:r w:rsidR="00C65BD0">
        <w:t>email field</w:t>
      </w:r>
      <w:r>
        <w:t xml:space="preserve"> will determine the email text</w:t>
      </w:r>
      <w:r w:rsidR="00873BAD">
        <w:t>.</w:t>
      </w:r>
      <w:r w:rsidR="00C65BD0">
        <w:t xml:space="preserve">   Had there not been a default email template for the </w:t>
      </w:r>
      <w:r w:rsidR="006473D8">
        <w:t xml:space="preserve">vendor </w:t>
      </w:r>
      <w:r w:rsidR="00C65BD0">
        <w:t xml:space="preserve">email field, then the default for the vendor </w:t>
      </w:r>
      <w:r w:rsidR="0086738A">
        <w:t xml:space="preserve">table </w:t>
      </w:r>
      <w:r w:rsidR="00C65BD0">
        <w:t xml:space="preserve">would have been used.  </w:t>
      </w:r>
      <w:r w:rsidR="006A7201">
        <w:t>This</w:t>
      </w:r>
      <w:r w:rsidR="006473D8">
        <w:t xml:space="preserve"> </w:t>
      </w:r>
      <w:r w:rsidR="006A7201">
        <w:t xml:space="preserve">example </w:t>
      </w:r>
      <w:r w:rsidR="006473D8">
        <w:t>only differs from the</w:t>
      </w:r>
      <w:r w:rsidR="006A7201">
        <w:t xml:space="preserve"> last one</w:t>
      </w:r>
      <w:r w:rsidR="006473D8">
        <w:t xml:space="preserve"> in the subject</w:t>
      </w:r>
      <w:r w:rsidR="00C65BD0">
        <w:t xml:space="preserve"> line </w:t>
      </w:r>
      <w:r w:rsidR="006A7201">
        <w:t xml:space="preserve">which now </w:t>
      </w:r>
      <w:r w:rsidR="006473D8">
        <w:t>include</w:t>
      </w:r>
      <w:r w:rsidR="006A7201">
        <w:t>s</w:t>
      </w:r>
      <w:r w:rsidR="006473D8">
        <w:t xml:space="preserve"> </w:t>
      </w:r>
      <w:r w:rsidR="00C65BD0">
        <w:t xml:space="preserve">the address.  </w:t>
      </w:r>
      <w:r w:rsidR="00873BAD">
        <w:t xml:space="preserve">The </w:t>
      </w:r>
      <w:r w:rsidR="00873BAD" w:rsidRPr="00C65BD0">
        <w:rPr>
          <w:color w:val="4C94D8" w:themeColor="text2" w:themeTint="80"/>
        </w:rPr>
        <w:t>To</w:t>
      </w:r>
      <w:r w:rsidR="00C65BD0">
        <w:rPr>
          <w:color w:val="4C94D8" w:themeColor="text2" w:themeTint="80"/>
        </w:rPr>
        <w:t>…</w:t>
      </w:r>
      <w:r w:rsidR="00873BAD" w:rsidRPr="00C65BD0">
        <w:rPr>
          <w:color w:val="4C94D8" w:themeColor="text2" w:themeTint="80"/>
        </w:rPr>
        <w:t xml:space="preserve"> </w:t>
      </w:r>
      <w:r w:rsidR="00873BAD">
        <w:t xml:space="preserve">field is also filled in with the </w:t>
      </w:r>
      <w:r w:rsidR="00C65BD0">
        <w:t>email address</w:t>
      </w:r>
      <w:r w:rsidR="00873BAD">
        <w:t xml:space="preserve"> </w:t>
      </w:r>
      <w:r w:rsidR="00C65BD0">
        <w:t xml:space="preserve">from the </w:t>
      </w:r>
      <w:r w:rsidR="006A7201">
        <w:t xml:space="preserve">vendor </w:t>
      </w:r>
      <w:r w:rsidR="00C65BD0">
        <w:t>email field</w:t>
      </w:r>
      <w:r w:rsidR="006A7201">
        <w:t>,</w:t>
      </w:r>
      <w:r w:rsidR="00873BAD">
        <w:t xml:space="preserve"> </w:t>
      </w:r>
      <w:r w:rsidR="006A7201">
        <w:t>i</w:t>
      </w:r>
      <w:r w:rsidR="00873BAD">
        <w:t>n this example "787665676*@email.com".</w:t>
      </w:r>
    </w:p>
    <w:p w14:paraId="1CD6C884" w14:textId="1CF01ACD" w:rsidR="006A56E0" w:rsidRDefault="007B33B6" w:rsidP="00007ED1">
      <w:r>
        <w:rPr>
          <w:noProof/>
        </w:rPr>
        <w:drawing>
          <wp:inline distT="0" distB="0" distL="0" distR="0" wp14:anchorId="7513C3E6" wp14:editId="4240EE35">
            <wp:extent cx="5481955" cy="3291205"/>
            <wp:effectExtent l="0" t="0" r="4445" b="4445"/>
            <wp:docPr id="788310453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10453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28CB" w14:textId="77777777" w:rsidR="00A77938" w:rsidRDefault="00A77938" w:rsidP="00A77938"/>
    <w:p w14:paraId="657BCC3C" w14:textId="6139605F" w:rsidR="00A77938" w:rsidRDefault="00A77938" w:rsidP="00A77938">
      <w:r>
        <w:t xml:space="preserve">The templates can </w:t>
      </w:r>
      <w:r w:rsidR="00F565A3">
        <w:t xml:space="preserve">only </w:t>
      </w:r>
      <w:r>
        <w:t xml:space="preserve">be defined by users </w:t>
      </w:r>
      <w:r w:rsidR="00560318">
        <w:t>with</w:t>
      </w:r>
      <w:r>
        <w:t xml:space="preserve"> permission to do so</w:t>
      </w:r>
      <w:r w:rsidR="0098316B">
        <w:t xml:space="preserve">.  </w:t>
      </w:r>
      <w:r>
        <w:t xml:space="preserve"> </w:t>
      </w:r>
      <w:r w:rsidR="0098316B">
        <w:t>T</w:t>
      </w:r>
      <w:r>
        <w:t xml:space="preserve">he </w:t>
      </w:r>
      <w:r w:rsidRPr="000D04B8">
        <w:rPr>
          <w:color w:val="4C94D8" w:themeColor="text2" w:themeTint="80"/>
        </w:rPr>
        <w:t>Edit Templates</w:t>
      </w:r>
      <w:r>
        <w:rPr>
          <w:color w:val="4C94D8" w:themeColor="text2" w:themeTint="80"/>
        </w:rPr>
        <w:t xml:space="preserve"> </w:t>
      </w:r>
      <w:r w:rsidR="0098316B">
        <w:t xml:space="preserve">menu option under the </w:t>
      </w:r>
      <w:r w:rsidR="0098316B" w:rsidRPr="0098316B">
        <w:rPr>
          <w:color w:val="4C94D8" w:themeColor="text2" w:themeTint="80"/>
        </w:rPr>
        <w:t xml:space="preserve">Setup </w:t>
      </w:r>
      <w:r w:rsidR="0098316B">
        <w:t>toolbar button is used to access the template setup screen.</w:t>
      </w:r>
    </w:p>
    <w:p w14:paraId="5957077E" w14:textId="77777777" w:rsidR="00A77938" w:rsidRDefault="00A77938" w:rsidP="00A77938">
      <w:r>
        <w:object w:dxaOrig="5052" w:dyaOrig="2328" w14:anchorId="0B21D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15pt;height:116.35pt" o:ole="">
            <v:imagedata r:id="rId9" o:title=""/>
          </v:shape>
          <o:OLEObject Type="Embed" ProgID="PBrush" ShapeID="_x0000_i1025" DrawAspect="Content" ObjectID="_1806325146" r:id="rId10"/>
        </w:object>
      </w:r>
    </w:p>
    <w:p w14:paraId="4D47AEC5" w14:textId="77777777" w:rsidR="0098316B" w:rsidRDefault="0098316B" w:rsidP="00007ED1"/>
    <w:p w14:paraId="6898B08B" w14:textId="3471E8A9" w:rsidR="006A56E0" w:rsidRDefault="00A77938" w:rsidP="00007ED1">
      <w:r>
        <w:t xml:space="preserve">This is </w:t>
      </w:r>
      <w:r w:rsidR="00560318">
        <w:t>the</w:t>
      </w:r>
      <w:r>
        <w:t xml:space="preserve"> </w:t>
      </w:r>
      <w:r w:rsidR="00560318">
        <w:t xml:space="preserve">definition used in the above example for the email field of the vendor </w:t>
      </w:r>
      <w:r w:rsidR="00FB6EDF">
        <w:t>screen</w:t>
      </w:r>
      <w:r w:rsidR="00560318">
        <w:t>.</w:t>
      </w:r>
      <w:r w:rsidR="00770796">
        <w:t xml:space="preserve">  </w:t>
      </w:r>
    </w:p>
    <w:p w14:paraId="246E67B4" w14:textId="2CB356A0" w:rsidR="006A56E0" w:rsidRDefault="00F55B89" w:rsidP="00007ED1">
      <w:r>
        <w:rPr>
          <w:noProof/>
        </w:rPr>
        <w:drawing>
          <wp:inline distT="0" distB="0" distL="0" distR="0" wp14:anchorId="770F12EF" wp14:editId="71E14AA5">
            <wp:extent cx="10034405" cy="4586288"/>
            <wp:effectExtent l="0" t="0" r="5080" b="5080"/>
            <wp:docPr id="5753864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8643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5651" cy="46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9516" w14:textId="77777777" w:rsidR="00770796" w:rsidRDefault="00770796" w:rsidP="00007ED1"/>
    <w:p w14:paraId="457B736A" w14:textId="77777777" w:rsidR="006651C8" w:rsidRDefault="006651C8" w:rsidP="00007ED1"/>
    <w:p w14:paraId="47282B62" w14:textId="4F5ED31E" w:rsidR="006651C8" w:rsidRPr="006651C8" w:rsidRDefault="006651C8" w:rsidP="006651C8">
      <w:pPr>
        <w:rPr>
          <w:rFonts w:ascii="Copperplate Gothic Bold" w:hAnsi="Copperplate Gothic Bold"/>
          <w:color w:val="4C94D8" w:themeColor="text2" w:themeTint="80"/>
        </w:rPr>
      </w:pPr>
      <w:r>
        <w:rPr>
          <w:rFonts w:ascii="Copperplate Gothic Bold" w:hAnsi="Copperplate Gothic Bold"/>
          <w:color w:val="4C94D8" w:themeColor="text2" w:themeTint="80"/>
        </w:rPr>
        <w:t>Hot Keys</w:t>
      </w:r>
    </w:p>
    <w:p w14:paraId="1C7EC3D0" w14:textId="76676BEF" w:rsidR="00770796" w:rsidRDefault="00D706BB" w:rsidP="00770796">
      <w:r>
        <w:t xml:space="preserve">Hot keys can be set up so the user can easily insert </w:t>
      </w:r>
      <w:r w:rsidR="0098316B">
        <w:t xml:space="preserve">routinely used </w:t>
      </w:r>
      <w:r>
        <w:t xml:space="preserve">data from the </w:t>
      </w:r>
      <w:r w:rsidR="0098316B">
        <w:t>database</w:t>
      </w:r>
      <w:r>
        <w:t xml:space="preserve"> vs doing a copy and paste from the screen</w:t>
      </w:r>
      <w:r w:rsidR="0098316B">
        <w:t>s</w:t>
      </w:r>
      <w:r>
        <w:t xml:space="preserve">.  </w:t>
      </w:r>
      <w:r w:rsidR="00770796">
        <w:t xml:space="preserve">  A list of </w:t>
      </w:r>
      <w:r>
        <w:t xml:space="preserve">existing </w:t>
      </w:r>
      <w:r w:rsidR="00770796">
        <w:t xml:space="preserve">hot keys can be accessed with the </w:t>
      </w:r>
      <w:r w:rsidR="00770796" w:rsidRPr="00770796">
        <w:rPr>
          <w:color w:val="4C94D8" w:themeColor="text2" w:themeTint="80"/>
        </w:rPr>
        <w:t>Hot Keys</w:t>
      </w:r>
      <w:r w:rsidR="00770796">
        <w:t xml:space="preserve"> toolbar button.  </w:t>
      </w:r>
      <w:r w:rsidR="00D04BE8">
        <w:t>In this example for the vendor table o</w:t>
      </w:r>
      <w:r w:rsidR="00770796">
        <w:t>nly one hot key has been defined</w:t>
      </w:r>
      <w:r w:rsidR="00D04BE8">
        <w:t>.</w:t>
      </w:r>
      <w:r>
        <w:t xml:space="preserve"> </w:t>
      </w:r>
      <w:r w:rsidR="00D04BE8">
        <w:t xml:space="preserve"> It’</w:t>
      </w:r>
      <w:r>
        <w:t>s</w:t>
      </w:r>
      <w:r w:rsidR="00770796">
        <w:t xml:space="preserve"> set</w:t>
      </w:r>
      <w:r>
        <w:t xml:space="preserve"> </w:t>
      </w:r>
      <w:r w:rsidR="00770796">
        <w:t xml:space="preserve">up so that </w:t>
      </w:r>
      <w:r w:rsidR="0098316B">
        <w:t>when the</w:t>
      </w:r>
      <w:r w:rsidR="00770796">
        <w:t xml:space="preserve"> user holds down the Alt-0 key combination in the subject line or email body</w:t>
      </w:r>
      <w:r w:rsidR="00D04BE8">
        <w:t>,</w:t>
      </w:r>
      <w:r w:rsidR="00770796">
        <w:t xml:space="preserve"> the vendor</w:t>
      </w:r>
      <w:r w:rsidR="0098316B">
        <w:t>’</w:t>
      </w:r>
      <w:r w:rsidR="00770796">
        <w:t>s name and address will be placed at the current cursor location.</w:t>
      </w:r>
    </w:p>
    <w:p w14:paraId="55207242" w14:textId="3E54C2E6" w:rsidR="00770796" w:rsidRDefault="00770796" w:rsidP="00007ED1">
      <w:r>
        <w:rPr>
          <w:noProof/>
        </w:rPr>
        <w:drawing>
          <wp:inline distT="0" distB="0" distL="0" distR="0" wp14:anchorId="2786F8DF" wp14:editId="118A87ED">
            <wp:extent cx="10735310" cy="6317300"/>
            <wp:effectExtent l="0" t="0" r="8890" b="7620"/>
            <wp:docPr id="1307246280" name="Picture 1" descr="A computer screen with a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46280" name="Picture 1" descr="A computer screen with a white box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40429" cy="63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DCAA" w14:textId="77777777" w:rsidR="002A14EA" w:rsidRDefault="002A14EA" w:rsidP="002A14EA">
      <w:r>
        <w:t>In this example, with the cursor located at the top of the email body, the user held down the key combination Alt-0.   The name and address of the vendor was inserted.</w:t>
      </w:r>
    </w:p>
    <w:p w14:paraId="0D725C86" w14:textId="77777777" w:rsidR="002A14EA" w:rsidRDefault="002A14EA" w:rsidP="002A14EA">
      <w:r>
        <w:rPr>
          <w:noProof/>
        </w:rPr>
        <w:drawing>
          <wp:inline distT="0" distB="0" distL="0" distR="0" wp14:anchorId="77543055" wp14:editId="73CF1ACC">
            <wp:extent cx="4450974" cy="1800225"/>
            <wp:effectExtent l="0" t="0" r="6985" b="0"/>
            <wp:docPr id="778665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587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9175" cy="18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4F1E" w14:textId="77777777" w:rsidR="00A27902" w:rsidRDefault="00A27902" w:rsidP="00007ED1"/>
    <w:p w14:paraId="353AF4AA" w14:textId="558E49AB" w:rsidR="00A27902" w:rsidRDefault="00A27902" w:rsidP="00007ED1">
      <w:r>
        <w:t xml:space="preserve">Another example of user defined hot keys that were set up for the claim record.  The </w:t>
      </w:r>
      <w:r w:rsidRPr="00A27902">
        <w:rPr>
          <w:color w:val="83CAEB" w:themeColor="accent1" w:themeTint="66"/>
        </w:rPr>
        <w:t>Sample Data</w:t>
      </w:r>
      <w:r>
        <w:rPr>
          <w:color w:val="83CAEB" w:themeColor="accent1" w:themeTint="66"/>
        </w:rPr>
        <w:t xml:space="preserve"> </w:t>
      </w:r>
      <w:r>
        <w:t>is actual data from the record having called the email.</w:t>
      </w:r>
      <w:r w:rsidR="00C06BAF">
        <w:t xml:space="preserve">  The </w:t>
      </w:r>
      <w:r w:rsidR="00C06BAF" w:rsidRPr="00C06BAF">
        <w:rPr>
          <w:color w:val="83CAEB" w:themeColor="accent1" w:themeTint="66"/>
        </w:rPr>
        <w:t>Edit Hot Keys</w:t>
      </w:r>
      <w:r w:rsidR="00C06BAF">
        <w:rPr>
          <w:color w:val="83CAEB" w:themeColor="accent1" w:themeTint="66"/>
        </w:rPr>
        <w:t xml:space="preserve"> </w:t>
      </w:r>
      <w:r w:rsidR="00C06BAF">
        <w:t>option allows hot keys to be set up.</w:t>
      </w:r>
    </w:p>
    <w:p w14:paraId="546E9393" w14:textId="6EAD16BC" w:rsidR="006A56E0" w:rsidRDefault="00A27902" w:rsidP="00007ED1">
      <w:r>
        <w:rPr>
          <w:noProof/>
        </w:rPr>
        <w:drawing>
          <wp:inline distT="0" distB="0" distL="0" distR="0" wp14:anchorId="014E21D0" wp14:editId="5DCB9200">
            <wp:extent cx="8651809" cy="3162291"/>
            <wp:effectExtent l="0" t="0" r="0" b="635"/>
            <wp:docPr id="21300856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8568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64873" cy="31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652C" w14:textId="5FA86EBC" w:rsidR="00C06BAF" w:rsidRDefault="00C06BAF" w:rsidP="00007ED1">
      <w:r>
        <w:rPr>
          <w:noProof/>
        </w:rPr>
        <w:drawing>
          <wp:inline distT="0" distB="0" distL="0" distR="0" wp14:anchorId="2108324F" wp14:editId="597F7C7A">
            <wp:extent cx="3790950" cy="1652373"/>
            <wp:effectExtent l="0" t="0" r="0" b="5080"/>
            <wp:docPr id="1926601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04" cy="16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8E06" w14:textId="717ED8A0" w:rsidR="00C06BAF" w:rsidRDefault="00C06BAF" w:rsidP="00007ED1">
      <w:r>
        <w:rPr>
          <w:noProof/>
        </w:rPr>
        <w:drawing>
          <wp:inline distT="0" distB="0" distL="0" distR="0" wp14:anchorId="2A495661" wp14:editId="70621FBF">
            <wp:extent cx="11975427" cy="4317141"/>
            <wp:effectExtent l="0" t="0" r="7620" b="7620"/>
            <wp:docPr id="86432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255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03391" cy="432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D31B" w14:textId="77777777" w:rsidR="001910A5" w:rsidRDefault="001910A5" w:rsidP="009128A2"/>
    <w:p w14:paraId="0E8BD9E5" w14:textId="77777777" w:rsidR="009B0C7C" w:rsidRDefault="009B0C7C" w:rsidP="009128A2"/>
    <w:p w14:paraId="0725EEB0" w14:textId="77777777" w:rsidR="009B0C7C" w:rsidRDefault="009B0C7C" w:rsidP="009128A2"/>
    <w:p w14:paraId="299B36E0" w14:textId="2216D6FE" w:rsidR="000A6E87" w:rsidRDefault="00017DD4" w:rsidP="009128A2">
      <w:r>
        <w:rPr>
          <w:rFonts w:ascii="Copperplate Gothic Bold" w:hAnsi="Copperplate Gothic Bold"/>
          <w:color w:val="4C94D8" w:themeColor="text2" w:themeTint="80"/>
        </w:rPr>
        <w:t>Diary Screen Email</w:t>
      </w:r>
    </w:p>
    <w:p w14:paraId="2F251B2C" w14:textId="5F514DD0" w:rsidR="009B0C7C" w:rsidRDefault="005A034A" w:rsidP="009128A2">
      <w:r>
        <w:t xml:space="preserve">The diary screen contains an </w:t>
      </w:r>
      <w:r w:rsidR="00E90378">
        <w:t>email button on the tool bar</w:t>
      </w:r>
      <w:r w:rsidR="00001420">
        <w:t xml:space="preserve"> which also works with templates.</w:t>
      </w:r>
    </w:p>
    <w:p w14:paraId="269A2891" w14:textId="4B599CBB" w:rsidR="000A6E87" w:rsidRDefault="00001420" w:rsidP="009128A2">
      <w:r>
        <w:rPr>
          <w:noProof/>
        </w:rPr>
        <w:drawing>
          <wp:inline distT="0" distB="0" distL="0" distR="0" wp14:anchorId="1A079E62" wp14:editId="7C4D54C7">
            <wp:extent cx="8596313" cy="8301988"/>
            <wp:effectExtent l="0" t="0" r="0" b="4445"/>
            <wp:docPr id="267695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131" cy="83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1AE9" w14:textId="77777777" w:rsidR="009B0C7C" w:rsidRDefault="009B0C7C" w:rsidP="009128A2"/>
    <w:p w14:paraId="6DA809E4" w14:textId="5557F1B9" w:rsidR="009B0C7C" w:rsidRDefault="00001420" w:rsidP="009128A2">
      <w:r>
        <w:t>If there are attachments connected to the diary, then they will show on the email with checkboxes.  To include attachments, the checkboxes must be checked.</w:t>
      </w:r>
    </w:p>
    <w:p w14:paraId="63B24D3D" w14:textId="0FC07368" w:rsidR="009128A2" w:rsidRDefault="00FE6E87" w:rsidP="00007ED1">
      <w:r>
        <w:rPr>
          <w:noProof/>
        </w:rPr>
        <w:drawing>
          <wp:inline distT="0" distB="0" distL="0" distR="0" wp14:anchorId="38F0CEFE" wp14:editId="50F003D2">
            <wp:extent cx="6536897" cy="5244192"/>
            <wp:effectExtent l="0" t="0" r="0" b="0"/>
            <wp:docPr id="171979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12" cy="52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6C85" w14:textId="77777777" w:rsidR="002B3EE5" w:rsidRDefault="002B3EE5" w:rsidP="00007ED1"/>
    <w:p w14:paraId="77F4D42E" w14:textId="77777777" w:rsidR="002B3EE5" w:rsidRDefault="002B3EE5" w:rsidP="00007ED1"/>
    <w:p w14:paraId="0BFD26D4" w14:textId="77777777" w:rsidR="002B3EE5" w:rsidRDefault="002B3EE5" w:rsidP="00007ED1"/>
    <w:p w14:paraId="3FDEFF4E" w14:textId="05E3B4DA" w:rsidR="002B3EE5" w:rsidRDefault="00017DD4" w:rsidP="00007ED1">
      <w:pPr>
        <w:rPr>
          <w:rFonts w:ascii="Copperplate Gothic Bold" w:hAnsi="Copperplate Gothic Bold"/>
          <w:color w:val="4C94D8" w:themeColor="text2" w:themeTint="80"/>
        </w:rPr>
      </w:pPr>
      <w:r>
        <w:rPr>
          <w:rFonts w:ascii="Copperplate Gothic Bold" w:hAnsi="Copperplate Gothic Bold"/>
          <w:color w:val="4C94D8" w:themeColor="text2" w:themeTint="80"/>
        </w:rPr>
        <w:t>Templates</w:t>
      </w:r>
    </w:p>
    <w:p w14:paraId="6AC67B99" w14:textId="77777777" w:rsidR="009C166F" w:rsidRDefault="009C166F" w:rsidP="00007ED1">
      <w:pPr>
        <w:rPr>
          <w:rFonts w:ascii="Copperplate Gothic Bold" w:hAnsi="Copperplate Gothic Bold"/>
          <w:color w:val="4C94D8" w:themeColor="text2" w:themeTint="80"/>
        </w:rPr>
      </w:pPr>
    </w:p>
    <w:p w14:paraId="557C03FC" w14:textId="77777777" w:rsidR="009C166F" w:rsidRDefault="009C166F" w:rsidP="009C166F">
      <w:r>
        <w:t>This is the template used for the diary email example.</w:t>
      </w:r>
    </w:p>
    <w:p w14:paraId="659F7451" w14:textId="6A356194" w:rsidR="009C166F" w:rsidRDefault="009C166F" w:rsidP="00007ED1">
      <w:pPr>
        <w:rPr>
          <w:rFonts w:ascii="Copperplate Gothic Bold" w:hAnsi="Copperplate Gothic Bold"/>
          <w:color w:val="4C94D8" w:themeColor="text2" w:themeTint="80"/>
        </w:rPr>
      </w:pPr>
      <w:r>
        <w:rPr>
          <w:noProof/>
        </w:rPr>
        <w:drawing>
          <wp:inline distT="0" distB="0" distL="0" distR="0" wp14:anchorId="1CED4C79" wp14:editId="569B9266">
            <wp:extent cx="9497643" cy="4751070"/>
            <wp:effectExtent l="0" t="0" r="8890" b="0"/>
            <wp:docPr id="1698509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0910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04842" cy="475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78A7" w14:textId="77777777" w:rsidR="009C166F" w:rsidRDefault="009C166F" w:rsidP="00007ED1"/>
    <w:p w14:paraId="1EB0C198" w14:textId="1A4DF5C9" w:rsidR="002B3EE5" w:rsidRDefault="007105B8" w:rsidP="00007ED1">
      <w:r>
        <w:t xml:space="preserve">This is an example of a template created for the claim screen.  </w:t>
      </w:r>
      <w:r w:rsidR="00E9188F">
        <w:t>F</w:t>
      </w:r>
      <w:r>
        <w:t xml:space="preserve">ields found on the </w:t>
      </w:r>
      <w:r w:rsidR="00E9188F">
        <w:t xml:space="preserve">screen </w:t>
      </w:r>
      <w:r w:rsidR="00F23424">
        <w:t>which the</w:t>
      </w:r>
      <w:r w:rsidR="00E9188F">
        <w:t xml:space="preserve"> email</w:t>
      </w:r>
      <w:r w:rsidR="00F23424">
        <w:t xml:space="preserve"> option was opened from</w:t>
      </w:r>
      <w:r w:rsidR="00E9188F">
        <w:t xml:space="preserve"> can be used as tokens in the template, in this case the </w:t>
      </w:r>
      <w:r>
        <w:t>claim screen</w:t>
      </w:r>
      <w:r w:rsidR="00E9188F">
        <w:t xml:space="preserve">.  For </w:t>
      </w:r>
      <w:proofErr w:type="gramStart"/>
      <w:r w:rsidR="00E9188F">
        <w:t>example</w:t>
      </w:r>
      <w:proofErr w:type="gramEnd"/>
      <w:r>
        <w:t xml:space="preserve"> </w:t>
      </w:r>
      <w:hyperlink r:id="rId20" w:history="1">
        <w:r w:rsidR="00E9188F" w:rsidRPr="004B03C8">
          <w:rPr>
            <w:rStyle w:val="Hyperlink"/>
          </w:rPr>
          <w:t>{@WCCLM1.FNAME}</w:t>
        </w:r>
      </w:hyperlink>
      <w:r w:rsidR="00E9188F">
        <w:t xml:space="preserve"> is the table name and column name.  </w:t>
      </w:r>
    </w:p>
    <w:p w14:paraId="0017554F" w14:textId="6E6472A1" w:rsidR="002B3EE5" w:rsidRDefault="002B3EE5" w:rsidP="00007ED1">
      <w:r>
        <w:rPr>
          <w:noProof/>
        </w:rPr>
        <w:drawing>
          <wp:inline distT="0" distB="0" distL="0" distR="0" wp14:anchorId="1A306D33" wp14:editId="6157C2E9">
            <wp:extent cx="10808175" cy="4957763"/>
            <wp:effectExtent l="0" t="0" r="0" b="0"/>
            <wp:docPr id="292144228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4228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518" cy="49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4D8C" w14:textId="77777777" w:rsidR="00001E11" w:rsidRDefault="00001E11" w:rsidP="00007ED1"/>
    <w:p w14:paraId="0256AB9D" w14:textId="1B9BD62A" w:rsidR="00001E11" w:rsidRDefault="00001E11" w:rsidP="00007ED1">
      <w:r>
        <w:t xml:space="preserve">The </w:t>
      </w:r>
      <w:r w:rsidRPr="00001E11">
        <w:rPr>
          <w:color w:val="4C94D8" w:themeColor="text2" w:themeTint="80"/>
        </w:rPr>
        <w:t xml:space="preserve">Field Help </w:t>
      </w:r>
      <w:r>
        <w:t xml:space="preserve">option </w:t>
      </w:r>
      <w:r w:rsidR="004D5B49">
        <w:t>on</w:t>
      </w:r>
      <w:r>
        <w:t xml:space="preserve"> the field context menu shows the table and column name.</w:t>
      </w:r>
      <w:r w:rsidR="004D5B49">
        <w:t xml:space="preserve">  Double-click in the text box to bring up the context menu.</w:t>
      </w:r>
    </w:p>
    <w:p w14:paraId="3FE8BFFD" w14:textId="7A94BFA8" w:rsidR="00001E11" w:rsidRDefault="00001E11" w:rsidP="00007ED1">
      <w:r>
        <w:rPr>
          <w:noProof/>
        </w:rPr>
        <w:drawing>
          <wp:inline distT="0" distB="0" distL="0" distR="0" wp14:anchorId="378995EE" wp14:editId="519B5507">
            <wp:extent cx="6559588" cy="6226426"/>
            <wp:effectExtent l="0" t="0" r="0" b="3175"/>
            <wp:docPr id="17536013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0137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9643" cy="62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51A5" w14:textId="77777777" w:rsidR="00E90378" w:rsidRDefault="00E90378" w:rsidP="00007ED1"/>
    <w:p w14:paraId="6C611E4C" w14:textId="3E540719" w:rsidR="00E90378" w:rsidRDefault="00E90378" w:rsidP="00007ED1"/>
    <w:p w14:paraId="5387D57B" w14:textId="77777777" w:rsidR="00BA0345" w:rsidRDefault="00BA0345" w:rsidP="00BA0345">
      <w:r>
        <w:t>In addition to tokens for a specific data entry field, a query can be done to return a specific data item or list of data.  In this example a list of payments is returned.</w:t>
      </w:r>
    </w:p>
    <w:p w14:paraId="72A38F3B" w14:textId="11548DCC" w:rsidR="00BA0345" w:rsidRDefault="00BA0345" w:rsidP="00007ED1">
      <w:r>
        <w:rPr>
          <w:noProof/>
        </w:rPr>
        <w:drawing>
          <wp:inline distT="0" distB="0" distL="0" distR="0" wp14:anchorId="07BACED6" wp14:editId="73D08D7E">
            <wp:extent cx="5481955" cy="3623310"/>
            <wp:effectExtent l="0" t="0" r="4445" b="0"/>
            <wp:docPr id="415578889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78889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AE61" w14:textId="77777777" w:rsidR="00BA0345" w:rsidRDefault="00BA0345" w:rsidP="00007ED1"/>
    <w:p w14:paraId="206DF186" w14:textId="31FCFA8E" w:rsidR="00BA0345" w:rsidRDefault="00A30888" w:rsidP="00BA0345">
      <w:r>
        <w:t>S</w:t>
      </w:r>
      <w:r w:rsidR="00BA0345">
        <w:t>yntax to return the list of payments in this example:</w:t>
      </w:r>
    </w:p>
    <w:p w14:paraId="44F0456F" w14:textId="77777777" w:rsidR="00BA0345" w:rsidRDefault="00BA0345" w:rsidP="00BA0345">
      <w:pPr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{[</w:t>
      </w:r>
      <w:proofErr w:type="gramStart"/>
      <w:r>
        <w:rPr>
          <w:rFonts w:ascii="Courier New" w:hAnsi="Courier New"/>
          <w:sz w:val="18"/>
        </w:rPr>
        <w:t>@(</w:t>
      </w:r>
      <w:proofErr w:type="gramEnd"/>
      <w:r>
        <w:rPr>
          <w:rFonts w:ascii="Courier New" w:hAnsi="Courier New"/>
          <w:sz w:val="18"/>
        </w:rPr>
        <w:t xml:space="preserve">select </w:t>
      </w:r>
      <w:proofErr w:type="spellStart"/>
      <w:proofErr w:type="gramStart"/>
      <w:r>
        <w:rPr>
          <w:rFonts w:ascii="Courier New" w:hAnsi="Courier New"/>
          <w:sz w:val="18"/>
        </w:rPr>
        <w:t>x.FormnumberKey</w:t>
      </w:r>
      <w:proofErr w:type="spellEnd"/>
      <w:proofErr w:type="gramEnd"/>
      <w:r>
        <w:rPr>
          <w:rFonts w:ascii="Courier New" w:hAnsi="Courier New"/>
          <w:sz w:val="18"/>
        </w:rPr>
        <w:t xml:space="preserve"> + </w:t>
      </w:r>
      <w:proofErr w:type="spellStart"/>
      <w:r>
        <w:rPr>
          <w:rFonts w:ascii="Courier New" w:hAnsi="Courier New"/>
          <w:sz w:val="18"/>
        </w:rPr>
        <w:t>isnull</w:t>
      </w:r>
      <w:proofErr w:type="spellEnd"/>
      <w:r>
        <w:rPr>
          <w:rFonts w:ascii="Courier New" w:hAnsi="Courier New"/>
          <w:sz w:val="18"/>
        </w:rPr>
        <w:t>(space(20-datalength(</w:t>
      </w:r>
      <w:proofErr w:type="spellStart"/>
      <w:proofErr w:type="gramStart"/>
      <w:r>
        <w:rPr>
          <w:rFonts w:ascii="Courier New" w:hAnsi="Courier New"/>
          <w:sz w:val="18"/>
        </w:rPr>
        <w:t>x.FormnumberKey</w:t>
      </w:r>
      <w:proofErr w:type="spellEnd"/>
      <w:proofErr w:type="gramEnd"/>
      <w:r>
        <w:rPr>
          <w:rFonts w:ascii="Courier New" w:hAnsi="Courier New"/>
          <w:sz w:val="18"/>
        </w:rPr>
        <w:t xml:space="preserve">)), ''), </w:t>
      </w:r>
      <w:proofErr w:type="spellStart"/>
      <w:proofErr w:type="gramStart"/>
      <w:r>
        <w:rPr>
          <w:rFonts w:ascii="Courier New" w:hAnsi="Courier New"/>
          <w:sz w:val="18"/>
        </w:rPr>
        <w:t>x.procdate</w:t>
      </w:r>
      <w:proofErr w:type="spellEnd"/>
      <w:proofErr w:type="gramEnd"/>
      <w:r>
        <w:rPr>
          <w:rFonts w:ascii="Courier New" w:hAnsi="Courier New"/>
          <w:sz w:val="18"/>
        </w:rPr>
        <w:t xml:space="preserve">, </w:t>
      </w:r>
      <w:proofErr w:type="spellStart"/>
      <w:proofErr w:type="gramStart"/>
      <w:r>
        <w:rPr>
          <w:rFonts w:ascii="Courier New" w:hAnsi="Courier New"/>
          <w:sz w:val="18"/>
        </w:rPr>
        <w:t>x.vendorcode</w:t>
      </w:r>
      <w:proofErr w:type="spellEnd"/>
      <w:proofErr w:type="gramEnd"/>
      <w:r>
        <w:rPr>
          <w:rFonts w:ascii="Courier New" w:hAnsi="Courier New"/>
          <w:sz w:val="18"/>
        </w:rPr>
        <w:t xml:space="preserve"> + </w:t>
      </w:r>
      <w:proofErr w:type="spellStart"/>
      <w:r>
        <w:rPr>
          <w:rFonts w:ascii="Courier New" w:hAnsi="Courier New"/>
          <w:sz w:val="18"/>
        </w:rPr>
        <w:t>isnull</w:t>
      </w:r>
      <w:proofErr w:type="spellEnd"/>
      <w:r>
        <w:rPr>
          <w:rFonts w:ascii="Courier New" w:hAnsi="Courier New"/>
          <w:sz w:val="18"/>
        </w:rPr>
        <w:t>(space(20-datalength(</w:t>
      </w:r>
      <w:proofErr w:type="spellStart"/>
      <w:proofErr w:type="gramStart"/>
      <w:r>
        <w:rPr>
          <w:rFonts w:ascii="Courier New" w:hAnsi="Courier New"/>
          <w:sz w:val="18"/>
        </w:rPr>
        <w:t>x.vendorcode</w:t>
      </w:r>
      <w:proofErr w:type="spellEnd"/>
      <w:proofErr w:type="gramEnd"/>
      <w:r>
        <w:rPr>
          <w:rFonts w:ascii="Courier New" w:hAnsi="Courier New"/>
          <w:sz w:val="18"/>
        </w:rPr>
        <w:t xml:space="preserve">)), ''), </w:t>
      </w:r>
      <w:proofErr w:type="spellStart"/>
      <w:proofErr w:type="gramStart"/>
      <w:r>
        <w:rPr>
          <w:rFonts w:ascii="Courier New" w:hAnsi="Courier New"/>
          <w:sz w:val="18"/>
        </w:rPr>
        <w:t>x.PaymentAmount</w:t>
      </w:r>
      <w:proofErr w:type="spellEnd"/>
      <w:proofErr w:type="gramEnd"/>
      <w:r>
        <w:rPr>
          <w:rFonts w:ascii="Courier New" w:hAnsi="Courier New"/>
          <w:sz w:val="18"/>
        </w:rPr>
        <w:t xml:space="preserve"> from </w:t>
      </w:r>
      <w:proofErr w:type="spellStart"/>
      <w:r>
        <w:rPr>
          <w:rFonts w:ascii="Courier New" w:hAnsi="Courier New"/>
          <w:sz w:val="18"/>
        </w:rPr>
        <w:t>wcckhst</w:t>
      </w:r>
      <w:proofErr w:type="spellEnd"/>
      <w:r>
        <w:rPr>
          <w:rFonts w:ascii="Courier New" w:hAnsi="Courier New"/>
          <w:sz w:val="18"/>
        </w:rPr>
        <w:t xml:space="preserve"> x where </w:t>
      </w:r>
      <w:proofErr w:type="spellStart"/>
      <w:proofErr w:type="gramStart"/>
      <w:r>
        <w:rPr>
          <w:rFonts w:ascii="Courier New" w:hAnsi="Courier New"/>
          <w:sz w:val="18"/>
        </w:rPr>
        <w:t>x.status</w:t>
      </w:r>
      <w:proofErr w:type="spellEnd"/>
      <w:proofErr w:type="gramEnd"/>
      <w:r>
        <w:rPr>
          <w:rFonts w:ascii="Courier New" w:hAnsi="Courier New"/>
          <w:sz w:val="18"/>
        </w:rPr>
        <w:t xml:space="preserve"> = 'P' and </w:t>
      </w:r>
      <w:proofErr w:type="spellStart"/>
      <w:proofErr w:type="gramStart"/>
      <w:r>
        <w:rPr>
          <w:rFonts w:ascii="Courier New" w:hAnsi="Courier New"/>
          <w:sz w:val="18"/>
        </w:rPr>
        <w:t>x.claimnumberkey</w:t>
      </w:r>
      <w:proofErr w:type="spellEnd"/>
      <w:proofErr w:type="gramEnd"/>
      <w:r>
        <w:rPr>
          <w:rFonts w:ascii="Courier New" w:hAnsi="Courier New"/>
          <w:sz w:val="18"/>
        </w:rPr>
        <w:t xml:space="preserve"> = '{@WCCLM1.CLAIMNUMBER}')]}</w:t>
      </w:r>
    </w:p>
    <w:p w14:paraId="2AA19393" w14:textId="0F0B6172" w:rsidR="00BA0345" w:rsidRDefault="00BA0345" w:rsidP="00007ED1">
      <w:r>
        <w:rPr>
          <w:noProof/>
        </w:rPr>
        <w:drawing>
          <wp:inline distT="0" distB="0" distL="0" distR="0" wp14:anchorId="13A73E0E" wp14:editId="35B5847F">
            <wp:extent cx="8552830" cy="3928179"/>
            <wp:effectExtent l="0" t="0" r="635" b="0"/>
            <wp:docPr id="28092283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2836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590" cy="39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A7D5" w14:textId="77777777" w:rsidR="00BA0345" w:rsidRDefault="00BA0345" w:rsidP="00007ED1"/>
    <w:p w14:paraId="01DD4583" w14:textId="10435B58" w:rsidR="00BA0345" w:rsidRDefault="00A30888" w:rsidP="00BA0345">
      <w:r>
        <w:t>Another example which would</w:t>
      </w:r>
      <w:r w:rsidR="00BA0345">
        <w:t xml:space="preserve"> return a single element from a query:</w:t>
      </w:r>
    </w:p>
    <w:p w14:paraId="0D60CB26" w14:textId="77777777" w:rsidR="00BA0345" w:rsidRDefault="00BA0345" w:rsidP="00BA0345">
      <w:r>
        <w:rPr>
          <w:rFonts w:ascii="Courier New" w:hAnsi="Courier New"/>
          <w:sz w:val="18"/>
        </w:rPr>
        <w:t>{</w:t>
      </w:r>
      <w:proofErr w:type="gramStart"/>
      <w:r>
        <w:rPr>
          <w:rFonts w:ascii="Courier New" w:hAnsi="Courier New"/>
          <w:sz w:val="18"/>
        </w:rPr>
        <w:t>@(</w:t>
      </w:r>
      <w:proofErr w:type="gramEnd"/>
      <w:r>
        <w:rPr>
          <w:rFonts w:ascii="Courier New" w:hAnsi="Courier New"/>
          <w:sz w:val="18"/>
        </w:rPr>
        <w:t xml:space="preserve">select case when (select </w:t>
      </w:r>
      <w:proofErr w:type="gramStart"/>
      <w:r>
        <w:rPr>
          <w:rFonts w:ascii="Courier New" w:hAnsi="Courier New"/>
          <w:sz w:val="18"/>
        </w:rPr>
        <w:t>count(</w:t>
      </w:r>
      <w:proofErr w:type="gramEnd"/>
      <w:r>
        <w:rPr>
          <w:rFonts w:ascii="Courier New" w:hAnsi="Courier New"/>
          <w:sz w:val="18"/>
        </w:rPr>
        <w:t xml:space="preserve">1) from </w:t>
      </w:r>
      <w:proofErr w:type="spellStart"/>
      <w:r>
        <w:rPr>
          <w:rFonts w:ascii="Courier New" w:hAnsi="Courier New"/>
          <w:sz w:val="18"/>
        </w:rPr>
        <w:t>wcckhst</w:t>
      </w:r>
      <w:proofErr w:type="spellEnd"/>
      <w:r>
        <w:rPr>
          <w:rFonts w:ascii="Courier New" w:hAnsi="Courier New"/>
          <w:sz w:val="18"/>
        </w:rPr>
        <w:t xml:space="preserve"> where status= 'P' and </w:t>
      </w:r>
      <w:proofErr w:type="spellStart"/>
      <w:proofErr w:type="gramStart"/>
      <w:r>
        <w:rPr>
          <w:rFonts w:ascii="Courier New" w:hAnsi="Courier New"/>
          <w:sz w:val="18"/>
        </w:rPr>
        <w:t>wcckhst.claimnumberkey</w:t>
      </w:r>
      <w:proofErr w:type="spellEnd"/>
      <w:proofErr w:type="gramEnd"/>
      <w:r>
        <w:rPr>
          <w:rFonts w:ascii="Courier New" w:hAnsi="Courier New"/>
          <w:sz w:val="18"/>
        </w:rPr>
        <w:t xml:space="preserve"> = </w:t>
      </w:r>
      <w:proofErr w:type="gramStart"/>
      <w:r>
        <w:rPr>
          <w:rFonts w:ascii="Courier New" w:hAnsi="Courier New"/>
          <w:sz w:val="18"/>
        </w:rPr>
        <w:t>wcclm1.claimnumber)=</w:t>
      </w:r>
      <w:proofErr w:type="gramEnd"/>
      <w:r>
        <w:rPr>
          <w:rFonts w:ascii="Courier New" w:hAnsi="Courier New"/>
          <w:sz w:val="18"/>
        </w:rPr>
        <w:t xml:space="preserve">0 then '[No payment records exist]' </w:t>
      </w:r>
      <w:proofErr w:type="gramStart"/>
      <w:r>
        <w:rPr>
          <w:rFonts w:ascii="Courier New" w:hAnsi="Courier New"/>
          <w:sz w:val="18"/>
        </w:rPr>
        <w:t>end)}</w:t>
      </w:r>
      <w:proofErr w:type="gramEnd"/>
    </w:p>
    <w:p w14:paraId="30C8F386" w14:textId="77777777" w:rsidR="00BA0345" w:rsidRDefault="00BA0345" w:rsidP="00007ED1"/>
    <w:p w14:paraId="4D73F9B0" w14:textId="3BB7D1D9" w:rsidR="00BA0345" w:rsidRDefault="00BA0345" w:rsidP="00007ED1">
      <w:r>
        <w:rPr>
          <w:noProof/>
        </w:rPr>
        <w:drawing>
          <wp:inline distT="0" distB="0" distL="0" distR="0" wp14:anchorId="18335EA0" wp14:editId="31345EEB">
            <wp:extent cx="9318374" cy="4279781"/>
            <wp:effectExtent l="0" t="0" r="0" b="6985"/>
            <wp:docPr id="1565937160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37160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649" cy="42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EE93" w14:textId="77777777" w:rsidR="00D00B9C" w:rsidRDefault="00D00B9C" w:rsidP="00007ED1"/>
    <w:p w14:paraId="32D476F0" w14:textId="77777777" w:rsidR="00D00B9C" w:rsidRDefault="00D00B9C" w:rsidP="00007ED1"/>
    <w:p w14:paraId="79DB85EA" w14:textId="77777777" w:rsidR="00A56252" w:rsidRDefault="00A56252" w:rsidP="00007ED1"/>
    <w:p w14:paraId="174D1560" w14:textId="77777777" w:rsidR="00A56252" w:rsidRDefault="00A56252" w:rsidP="00007ED1"/>
    <w:p w14:paraId="486753DD" w14:textId="6CB7C697" w:rsidR="00155D3B" w:rsidRDefault="00155D3B" w:rsidP="00007ED1">
      <w:r>
        <w:rPr>
          <w:rFonts w:ascii="Copperplate Gothic Bold" w:hAnsi="Copperplate Gothic Bold"/>
          <w:color w:val="4C94D8" w:themeColor="text2" w:themeTint="80"/>
        </w:rPr>
        <w:t>Note Emails</w:t>
      </w:r>
    </w:p>
    <w:p w14:paraId="588C45BF" w14:textId="71BD18EE" w:rsidR="00A56252" w:rsidRDefault="00A56252" w:rsidP="00007ED1">
      <w:r>
        <w:t>Notes also have an email option.</w:t>
      </w:r>
    </w:p>
    <w:p w14:paraId="65E6856E" w14:textId="2F0ED4E8" w:rsidR="00A56252" w:rsidRDefault="00A56252" w:rsidP="00007ED1">
      <w:r>
        <w:rPr>
          <w:noProof/>
        </w:rPr>
        <w:drawing>
          <wp:inline distT="0" distB="0" distL="0" distR="0" wp14:anchorId="730E9905" wp14:editId="58F0F5B4">
            <wp:extent cx="11121390" cy="2832735"/>
            <wp:effectExtent l="0" t="0" r="3810" b="5715"/>
            <wp:docPr id="414368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39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917F" w14:textId="77777777" w:rsidR="00B22079" w:rsidRDefault="00B22079" w:rsidP="00007ED1"/>
    <w:p w14:paraId="18D204E3" w14:textId="77777777" w:rsidR="00B22079" w:rsidRDefault="00B22079" w:rsidP="00007ED1"/>
    <w:p w14:paraId="67F7F300" w14:textId="77777777" w:rsidR="00DB53EB" w:rsidRDefault="00DB53EB" w:rsidP="00007ED1"/>
    <w:p w14:paraId="579BF315" w14:textId="534A09A9" w:rsidR="00DB53EB" w:rsidRDefault="00DB53EB" w:rsidP="00DB53EB">
      <w:pPr>
        <w:rPr>
          <w:rFonts w:ascii="Copperplate Gothic Bold" w:hAnsi="Copperplate Gothic Bold"/>
          <w:color w:val="4C94D8" w:themeColor="text2" w:themeTint="80"/>
        </w:rPr>
      </w:pPr>
      <w:r>
        <w:rPr>
          <w:rFonts w:ascii="Copperplate Gothic Bold" w:hAnsi="Copperplate Gothic Bold"/>
          <w:color w:val="4C94D8" w:themeColor="text2" w:themeTint="80"/>
        </w:rPr>
        <w:t>Claim Forms Emails</w:t>
      </w:r>
    </w:p>
    <w:p w14:paraId="57AF00E9" w14:textId="77777777" w:rsidR="00DB53EB" w:rsidRDefault="00DB53EB" w:rsidP="00DB53EB"/>
    <w:p w14:paraId="64055313" w14:textId="3FBA1908" w:rsidR="00453298" w:rsidRDefault="00F001D5" w:rsidP="00007ED1">
      <w:r>
        <w:t xml:space="preserve">Forms can be emailed </w:t>
      </w:r>
      <w:r w:rsidR="00C837D8">
        <w:t xml:space="preserve">automatically </w:t>
      </w:r>
      <w:r>
        <w:t xml:space="preserve">when created and saved </w:t>
      </w:r>
      <w:r w:rsidR="00C837D8">
        <w:t>from a</w:t>
      </w:r>
      <w:r>
        <w:t xml:space="preserve"> claim record. </w:t>
      </w:r>
      <w:r w:rsidR="00453298">
        <w:t xml:space="preserve"> </w:t>
      </w:r>
    </w:p>
    <w:p w14:paraId="3E0AE887" w14:textId="18AFE275" w:rsidR="00B22079" w:rsidRDefault="00C837D8" w:rsidP="00007ED1">
      <w:r>
        <w:rPr>
          <w:noProof/>
        </w:rPr>
        <w:drawing>
          <wp:inline distT="0" distB="0" distL="0" distR="0" wp14:anchorId="2E8F50E3" wp14:editId="084EFB54">
            <wp:extent cx="9126988" cy="1832883"/>
            <wp:effectExtent l="0" t="0" r="0" b="0"/>
            <wp:docPr id="1945374928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74928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81" cy="18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5EA1" w14:textId="5FDF34CE" w:rsidR="00B22079" w:rsidRDefault="00B22079" w:rsidP="00007ED1"/>
    <w:p w14:paraId="36B2BE61" w14:textId="77777777" w:rsidR="00B22079" w:rsidRDefault="00B22079" w:rsidP="00007ED1"/>
    <w:p w14:paraId="5D465C8C" w14:textId="5AB35C4D" w:rsidR="00C837D8" w:rsidRDefault="00C837D8" w:rsidP="00C837D8">
      <w:r>
        <w:t xml:space="preserve">Email options are set in the in the </w:t>
      </w:r>
      <w:r w:rsidRPr="00F001D5">
        <w:rPr>
          <w:color w:val="365F91"/>
        </w:rPr>
        <w:t>Tables</w:t>
      </w:r>
      <w:r>
        <w:rPr>
          <w:color w:val="365F91"/>
        </w:rPr>
        <w:t xml:space="preserve"> </w:t>
      </w:r>
      <w:r>
        <w:t xml:space="preserve">option found in </w:t>
      </w:r>
      <w:r w:rsidRPr="00F001D5">
        <w:rPr>
          <w:color w:val="365F91"/>
        </w:rPr>
        <w:t>Maintenance</w:t>
      </w:r>
      <w:r>
        <w:rPr>
          <w:color w:val="365F91"/>
        </w:rPr>
        <w:t xml:space="preserve"> </w:t>
      </w:r>
      <w:r>
        <w:t>from the ATS Console.</w:t>
      </w:r>
    </w:p>
    <w:p w14:paraId="24E17E7A" w14:textId="77777777" w:rsidR="000E0286" w:rsidRDefault="000E0286" w:rsidP="000E0286">
      <w:r>
        <w:rPr>
          <w:noProof/>
        </w:rPr>
        <w:drawing>
          <wp:inline distT="0" distB="0" distL="0" distR="0" wp14:anchorId="402BA418" wp14:editId="5CB43480">
            <wp:extent cx="10470944" cy="3118600"/>
            <wp:effectExtent l="0" t="0" r="6985" b="5715"/>
            <wp:docPr id="895414894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14894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102" cy="31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B3B6" w14:textId="77777777" w:rsidR="00C837D8" w:rsidRDefault="00C837D8" w:rsidP="000E0286"/>
    <w:p w14:paraId="1EF31C84" w14:textId="796A3D61" w:rsidR="000E0286" w:rsidRDefault="000E0286" w:rsidP="000E0286">
      <w:r>
        <w:rPr>
          <w:noProof/>
        </w:rPr>
        <w:drawing>
          <wp:inline distT="0" distB="0" distL="0" distR="0" wp14:anchorId="56DB3392" wp14:editId="32563F2F">
            <wp:extent cx="7029166" cy="4767639"/>
            <wp:effectExtent l="0" t="0" r="635" b="0"/>
            <wp:docPr id="654613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1358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1873" cy="477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C77F" w14:textId="77777777" w:rsidR="000E0286" w:rsidRDefault="000E0286" w:rsidP="000E0286"/>
    <w:p w14:paraId="79874147" w14:textId="77777777" w:rsidR="000E0286" w:rsidRDefault="000E0286" w:rsidP="000E0286">
      <w:r>
        <w:t xml:space="preserve">This template is set up to send an email to </w:t>
      </w:r>
      <w:hyperlink r:id="rId28" w:history="1">
        <w:r w:rsidRPr="004B03C8">
          <w:rPr>
            <w:rStyle w:val="Hyperlink"/>
          </w:rPr>
          <w:t>SomeoneAddress@atsrmis.com</w:t>
        </w:r>
      </w:hyperlink>
      <w:r>
        <w:t xml:space="preserve"> whenever a new NEWCLMP form is created and saved.</w:t>
      </w:r>
    </w:p>
    <w:p w14:paraId="54E04198" w14:textId="77777777" w:rsidR="000E0286" w:rsidRDefault="000E0286" w:rsidP="000E0286">
      <w:r>
        <w:rPr>
          <w:noProof/>
        </w:rPr>
        <w:drawing>
          <wp:inline distT="0" distB="0" distL="0" distR="0" wp14:anchorId="31C2AB11" wp14:editId="14297F79">
            <wp:extent cx="9488619" cy="4350311"/>
            <wp:effectExtent l="0" t="0" r="0" b="0"/>
            <wp:docPr id="17962542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5425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36041" cy="43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8A410" w14:textId="77777777" w:rsidR="000E0286" w:rsidRDefault="000E0286" w:rsidP="00007ED1"/>
    <w:p w14:paraId="7AE956B4" w14:textId="77777777" w:rsidR="000260F7" w:rsidRDefault="000260F7" w:rsidP="00007ED1"/>
    <w:p w14:paraId="541E58E6" w14:textId="2CFB9ACF" w:rsidR="000260F7" w:rsidRPr="000260F7" w:rsidRDefault="000260F7" w:rsidP="00007ED1">
      <w:pPr>
        <w:rPr>
          <w:rFonts w:ascii="Cambria" w:hAnsi="Cambria"/>
          <w:color w:val="4C94D8" w:themeColor="text2" w:themeTint="80"/>
          <w:sz w:val="28"/>
          <w:szCs w:val="28"/>
        </w:rPr>
      </w:pPr>
      <w:r w:rsidRPr="000260F7">
        <w:rPr>
          <w:rFonts w:ascii="Cambria" w:hAnsi="Cambria"/>
          <w:color w:val="4C94D8" w:themeColor="text2" w:themeTint="80"/>
          <w:sz w:val="28"/>
          <w:szCs w:val="28"/>
        </w:rPr>
        <w:t>Email Recipients</w:t>
      </w:r>
    </w:p>
    <w:p w14:paraId="1BEC9B90" w14:textId="77777777" w:rsidR="000260F7" w:rsidRDefault="000260F7" w:rsidP="00007ED1"/>
    <w:p w14:paraId="520C3F20" w14:textId="2B9599EF" w:rsidR="000260F7" w:rsidRPr="00007ED1" w:rsidRDefault="000260F7" w:rsidP="00007ED1">
      <w:r>
        <w:rPr>
          <w:noProof/>
        </w:rPr>
        <w:drawing>
          <wp:inline distT="0" distB="0" distL="0" distR="0" wp14:anchorId="253F406A" wp14:editId="04EF26FE">
            <wp:extent cx="8736723" cy="6126480"/>
            <wp:effectExtent l="0" t="0" r="7620" b="7620"/>
            <wp:docPr id="7738657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65761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55036" cy="61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0F7" w:rsidRPr="00007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7F"/>
    <w:rsid w:val="00001420"/>
    <w:rsid w:val="00001E11"/>
    <w:rsid w:val="00004B09"/>
    <w:rsid w:val="00007ED1"/>
    <w:rsid w:val="00017DD4"/>
    <w:rsid w:val="000260F7"/>
    <w:rsid w:val="000772AF"/>
    <w:rsid w:val="000A12B3"/>
    <w:rsid w:val="000A6E87"/>
    <w:rsid w:val="000B0CAB"/>
    <w:rsid w:val="000B3D99"/>
    <w:rsid w:val="000D04B8"/>
    <w:rsid w:val="000E0286"/>
    <w:rsid w:val="00103958"/>
    <w:rsid w:val="00103F37"/>
    <w:rsid w:val="00130C01"/>
    <w:rsid w:val="00155D3B"/>
    <w:rsid w:val="001910A5"/>
    <w:rsid w:val="001F12D1"/>
    <w:rsid w:val="00207D7D"/>
    <w:rsid w:val="00216326"/>
    <w:rsid w:val="002955BA"/>
    <w:rsid w:val="002A14EA"/>
    <w:rsid w:val="002A2801"/>
    <w:rsid w:val="002B3EE5"/>
    <w:rsid w:val="002C1886"/>
    <w:rsid w:val="002D42AA"/>
    <w:rsid w:val="00322F55"/>
    <w:rsid w:val="00342640"/>
    <w:rsid w:val="0035563F"/>
    <w:rsid w:val="00385BAB"/>
    <w:rsid w:val="003B7AED"/>
    <w:rsid w:val="003C441B"/>
    <w:rsid w:val="003D53C0"/>
    <w:rsid w:val="003E3E10"/>
    <w:rsid w:val="003F679F"/>
    <w:rsid w:val="00426D9B"/>
    <w:rsid w:val="00447E0B"/>
    <w:rsid w:val="00453298"/>
    <w:rsid w:val="00457A23"/>
    <w:rsid w:val="004624D1"/>
    <w:rsid w:val="0049057E"/>
    <w:rsid w:val="004A7683"/>
    <w:rsid w:val="004D5B49"/>
    <w:rsid w:val="004F0AF3"/>
    <w:rsid w:val="00522E28"/>
    <w:rsid w:val="00533251"/>
    <w:rsid w:val="0055068C"/>
    <w:rsid w:val="00560318"/>
    <w:rsid w:val="00560831"/>
    <w:rsid w:val="005A01E7"/>
    <w:rsid w:val="005A034A"/>
    <w:rsid w:val="005B73CD"/>
    <w:rsid w:val="005C36F0"/>
    <w:rsid w:val="005C5303"/>
    <w:rsid w:val="005F0967"/>
    <w:rsid w:val="00601E93"/>
    <w:rsid w:val="00621BE2"/>
    <w:rsid w:val="006363C2"/>
    <w:rsid w:val="006473D8"/>
    <w:rsid w:val="006651C8"/>
    <w:rsid w:val="00686377"/>
    <w:rsid w:val="006A117A"/>
    <w:rsid w:val="006A2784"/>
    <w:rsid w:val="006A56E0"/>
    <w:rsid w:val="006A7201"/>
    <w:rsid w:val="006D3EFA"/>
    <w:rsid w:val="006F40D1"/>
    <w:rsid w:val="006F6646"/>
    <w:rsid w:val="006F70EB"/>
    <w:rsid w:val="007105B8"/>
    <w:rsid w:val="007639CD"/>
    <w:rsid w:val="00770796"/>
    <w:rsid w:val="007B33B6"/>
    <w:rsid w:val="007C0DB2"/>
    <w:rsid w:val="00802ABE"/>
    <w:rsid w:val="008405AF"/>
    <w:rsid w:val="0086738A"/>
    <w:rsid w:val="00873BAD"/>
    <w:rsid w:val="00877912"/>
    <w:rsid w:val="008D205B"/>
    <w:rsid w:val="009108E9"/>
    <w:rsid w:val="009120B9"/>
    <w:rsid w:val="009128A2"/>
    <w:rsid w:val="0097382F"/>
    <w:rsid w:val="0098316B"/>
    <w:rsid w:val="00987EB9"/>
    <w:rsid w:val="009A4CBB"/>
    <w:rsid w:val="009B0C7C"/>
    <w:rsid w:val="009C166F"/>
    <w:rsid w:val="009D0F92"/>
    <w:rsid w:val="009D4CA1"/>
    <w:rsid w:val="00A04754"/>
    <w:rsid w:val="00A0597E"/>
    <w:rsid w:val="00A270FF"/>
    <w:rsid w:val="00A27902"/>
    <w:rsid w:val="00A30888"/>
    <w:rsid w:val="00A52957"/>
    <w:rsid w:val="00A56252"/>
    <w:rsid w:val="00A77938"/>
    <w:rsid w:val="00AD708D"/>
    <w:rsid w:val="00AF2B29"/>
    <w:rsid w:val="00B039CB"/>
    <w:rsid w:val="00B1224F"/>
    <w:rsid w:val="00B13359"/>
    <w:rsid w:val="00B1431E"/>
    <w:rsid w:val="00B22079"/>
    <w:rsid w:val="00B22627"/>
    <w:rsid w:val="00B34BB4"/>
    <w:rsid w:val="00B4456C"/>
    <w:rsid w:val="00B44643"/>
    <w:rsid w:val="00B472CE"/>
    <w:rsid w:val="00B61E08"/>
    <w:rsid w:val="00B86E95"/>
    <w:rsid w:val="00B92DD3"/>
    <w:rsid w:val="00BA0345"/>
    <w:rsid w:val="00BA3404"/>
    <w:rsid w:val="00BA76AB"/>
    <w:rsid w:val="00BB2197"/>
    <w:rsid w:val="00BC73BD"/>
    <w:rsid w:val="00BF02E2"/>
    <w:rsid w:val="00C06BAF"/>
    <w:rsid w:val="00C249CA"/>
    <w:rsid w:val="00C31200"/>
    <w:rsid w:val="00C64D0C"/>
    <w:rsid w:val="00C65BD0"/>
    <w:rsid w:val="00C837D8"/>
    <w:rsid w:val="00C85B56"/>
    <w:rsid w:val="00CE1FA3"/>
    <w:rsid w:val="00D00B9C"/>
    <w:rsid w:val="00D04BE8"/>
    <w:rsid w:val="00D27A99"/>
    <w:rsid w:val="00D5607E"/>
    <w:rsid w:val="00D6201B"/>
    <w:rsid w:val="00D706BB"/>
    <w:rsid w:val="00D750A6"/>
    <w:rsid w:val="00DB53EB"/>
    <w:rsid w:val="00E146A8"/>
    <w:rsid w:val="00E2407F"/>
    <w:rsid w:val="00E2414B"/>
    <w:rsid w:val="00E253EA"/>
    <w:rsid w:val="00E319D1"/>
    <w:rsid w:val="00E50B7B"/>
    <w:rsid w:val="00E57339"/>
    <w:rsid w:val="00E659DA"/>
    <w:rsid w:val="00E90378"/>
    <w:rsid w:val="00E9188F"/>
    <w:rsid w:val="00EB5890"/>
    <w:rsid w:val="00EE45B5"/>
    <w:rsid w:val="00EE531E"/>
    <w:rsid w:val="00F001D5"/>
    <w:rsid w:val="00F23424"/>
    <w:rsid w:val="00F24912"/>
    <w:rsid w:val="00F55B89"/>
    <w:rsid w:val="00F562D0"/>
    <w:rsid w:val="00F565A3"/>
    <w:rsid w:val="00F64205"/>
    <w:rsid w:val="00F666AE"/>
    <w:rsid w:val="00F67846"/>
    <w:rsid w:val="00F87206"/>
    <w:rsid w:val="00FB3830"/>
    <w:rsid w:val="00FB6EDF"/>
    <w:rsid w:val="00FD2386"/>
    <w:rsid w:val="00FD4875"/>
    <w:rsid w:val="00FE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12AED3"/>
  <w15:chartTrackingRefBased/>
  <w15:docId w15:val="{92484775-716B-4523-A297-EB28566A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4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07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BC73B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918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6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mailto:%7b@WCCLM1.FNAME%7d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mailto:SomeoneAddress@atsrmis.com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3073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Peck</dc:creator>
  <cp:keywords/>
  <dc:description/>
  <cp:lastModifiedBy>Matt Peck</cp:lastModifiedBy>
  <cp:revision>147</cp:revision>
  <dcterms:created xsi:type="dcterms:W3CDTF">2025-03-12T15:40:00Z</dcterms:created>
  <dcterms:modified xsi:type="dcterms:W3CDTF">2025-04-16T20:10:00Z</dcterms:modified>
</cp:coreProperties>
</file>