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999B3" w14:textId="529A2BF5" w:rsidR="006C4437" w:rsidRPr="006C4437" w:rsidRDefault="006C4437" w:rsidP="006C4437">
      <w:pPr>
        <w:rPr>
          <w:rFonts w:ascii="Cambria" w:hAnsi="Cambria"/>
          <w:b/>
          <w:bCs/>
          <w:color w:val="215E99" w:themeColor="text2" w:themeTint="BF"/>
          <w:sz w:val="48"/>
          <w:szCs w:val="48"/>
        </w:rPr>
      </w:pPr>
      <w:r>
        <w:rPr>
          <w:rFonts w:ascii="Cambria" w:hAnsi="Cambria"/>
          <w:b/>
          <w:bCs/>
          <w:color w:val="215E99" w:themeColor="text2" w:themeTint="BF"/>
          <w:sz w:val="48"/>
          <w:szCs w:val="48"/>
        </w:rPr>
        <w:t>Printing Checks</w:t>
      </w:r>
      <w:r w:rsidRPr="006C4437">
        <w:rPr>
          <w:rFonts w:ascii="Cambria" w:hAnsi="Cambria"/>
          <w:b/>
          <w:bCs/>
          <w:color w:val="215E99" w:themeColor="text2" w:themeTint="BF"/>
          <w:sz w:val="48"/>
          <w:szCs w:val="48"/>
        </w:rPr>
        <w:t xml:space="preserve"> </w:t>
      </w:r>
    </w:p>
    <w:p w14:paraId="1779C7A8" w14:textId="77777777" w:rsidR="006C4437" w:rsidRDefault="006C4437">
      <w:pPr>
        <w:rPr>
          <w:color w:val="4C94D8" w:themeColor="text2" w:themeTint="80"/>
        </w:rPr>
      </w:pPr>
    </w:p>
    <w:p w14:paraId="4DBFA8C0" w14:textId="77777777" w:rsidR="005C1DB6" w:rsidRDefault="005C1DB6"/>
    <w:p w14:paraId="4F112361" w14:textId="3D1EF76E" w:rsidR="006C4437" w:rsidRDefault="001569DB">
      <w:pPr>
        <w:rPr>
          <w:color w:val="4C94D8" w:themeColor="text2" w:themeTint="80"/>
        </w:rPr>
      </w:pPr>
      <w:r>
        <w:t xml:space="preserve">Access payment printing with the </w:t>
      </w:r>
      <w:r w:rsidRPr="00E12BD7">
        <w:rPr>
          <w:color w:val="4C94D8" w:themeColor="text2" w:themeTint="80"/>
        </w:rPr>
        <w:t>Processes</w:t>
      </w:r>
      <w:r>
        <w:t xml:space="preserve"> toolbar button on the </w:t>
      </w:r>
      <w:r w:rsidR="00166C3D">
        <w:t>ATS Console</w:t>
      </w:r>
      <w:r>
        <w:t>.</w:t>
      </w:r>
    </w:p>
    <w:p w14:paraId="677702B7" w14:textId="250942EC" w:rsidR="006C4437" w:rsidRDefault="00E12BD7">
      <w:pPr>
        <w:rPr>
          <w:color w:val="4C94D8" w:themeColor="text2" w:themeTint="80"/>
        </w:rPr>
      </w:pPr>
      <w:r>
        <w:rPr>
          <w:noProof/>
          <w:color w:val="4C94D8" w:themeColor="text2" w:themeTint="80"/>
        </w:rPr>
        <w:drawing>
          <wp:inline distT="0" distB="0" distL="0" distR="0" wp14:anchorId="20366341" wp14:editId="65E552FE">
            <wp:extent cx="11626746" cy="1949116"/>
            <wp:effectExtent l="0" t="0" r="0" b="0"/>
            <wp:docPr id="18540733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7804" cy="195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BFB70" w14:textId="77777777" w:rsidR="00E12BD7" w:rsidRDefault="00E12BD7">
      <w:pPr>
        <w:rPr>
          <w:color w:val="4C94D8" w:themeColor="text2" w:themeTint="80"/>
        </w:rPr>
      </w:pPr>
    </w:p>
    <w:p w14:paraId="3D6A8CF8" w14:textId="6DCFF23C" w:rsidR="00E12BD7" w:rsidRDefault="00E12BD7">
      <w:pPr>
        <w:rPr>
          <w:color w:val="4C94D8" w:themeColor="text2" w:themeTint="80"/>
        </w:rPr>
      </w:pPr>
      <w:r>
        <w:rPr>
          <w:noProof/>
          <w:color w:val="4C94D8" w:themeColor="text2" w:themeTint="80"/>
        </w:rPr>
        <w:drawing>
          <wp:inline distT="0" distB="0" distL="0" distR="0" wp14:anchorId="29352E99" wp14:editId="5E25A986">
            <wp:extent cx="11954577" cy="1024784"/>
            <wp:effectExtent l="0" t="0" r="0" b="4445"/>
            <wp:docPr id="11200471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858" cy="102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CE38A" w14:textId="77777777" w:rsidR="006C4437" w:rsidRDefault="006C4437">
      <w:pPr>
        <w:rPr>
          <w:color w:val="4C94D8" w:themeColor="text2" w:themeTint="80"/>
        </w:rPr>
      </w:pPr>
    </w:p>
    <w:p w14:paraId="7BA6D899" w14:textId="77777777" w:rsidR="00810CFC" w:rsidRDefault="00810CFC">
      <w:pPr>
        <w:rPr>
          <w:color w:val="4C94D8" w:themeColor="text2" w:themeTint="80"/>
        </w:rPr>
      </w:pPr>
    </w:p>
    <w:p w14:paraId="1DC3365F" w14:textId="4E86E61A" w:rsidR="00166C3D" w:rsidRPr="005C1DB6" w:rsidRDefault="005C1DB6">
      <w:pPr>
        <w:rPr>
          <w:rFonts w:ascii="Copperplate Gothic Bold" w:hAnsi="Copperplate Gothic Bold"/>
          <w:color w:val="4C94D8" w:themeColor="text2" w:themeTint="80"/>
          <w:sz w:val="32"/>
        </w:rPr>
      </w:pPr>
      <w:r>
        <w:rPr>
          <w:rFonts w:ascii="Copperplate Gothic Bold" w:hAnsi="Copperplate Gothic Bold"/>
          <w:color w:val="4C94D8" w:themeColor="text2" w:themeTint="80"/>
          <w:sz w:val="32"/>
        </w:rPr>
        <w:t>Payment</w:t>
      </w:r>
      <w:r w:rsidRPr="005C1DB6">
        <w:rPr>
          <w:rFonts w:ascii="Copperplate Gothic Bold" w:hAnsi="Copperplate Gothic Bold"/>
          <w:color w:val="4C94D8" w:themeColor="text2" w:themeTint="80"/>
          <w:sz w:val="32"/>
        </w:rPr>
        <w:t xml:space="preserve"> Approval Settings</w:t>
      </w:r>
    </w:p>
    <w:p w14:paraId="3A5117D1" w14:textId="661DFAD3" w:rsidR="00166C3D" w:rsidRDefault="00166C3D">
      <w:r>
        <w:t xml:space="preserve">If </w:t>
      </w:r>
      <w:r w:rsidR="00AD39A9">
        <w:t xml:space="preserve">the system parameters are set to use pre-approval mode, then </w:t>
      </w:r>
      <w:r w:rsidR="00E106DE">
        <w:t>only checks</w:t>
      </w:r>
      <w:r w:rsidR="00AD39A9">
        <w:t xml:space="preserve"> marked as approved </w:t>
      </w:r>
      <w:r w:rsidR="00E106DE">
        <w:t xml:space="preserve">can be printed.  For users with </w:t>
      </w:r>
      <w:r w:rsidR="000C784F">
        <w:t>authority</w:t>
      </w:r>
      <w:r w:rsidR="00E106DE">
        <w:t xml:space="preserve">, system parameters can be accessed from the </w:t>
      </w:r>
      <w:r w:rsidR="00E106DE" w:rsidRPr="00E106DE">
        <w:rPr>
          <w:color w:val="4C94D8" w:themeColor="text2" w:themeTint="80"/>
        </w:rPr>
        <w:t>Maintenance</w:t>
      </w:r>
      <w:r w:rsidR="00E106DE">
        <w:t xml:space="preserve"> button on the ATS Console tool bar.  Select </w:t>
      </w:r>
      <w:r w:rsidR="00E106DE" w:rsidRPr="00E106DE">
        <w:rPr>
          <w:color w:val="4C94D8" w:themeColor="text2" w:themeTint="80"/>
        </w:rPr>
        <w:t xml:space="preserve">Parameters II </w:t>
      </w:r>
      <w:r w:rsidR="00E106DE">
        <w:t xml:space="preserve">from the </w:t>
      </w:r>
      <w:r w:rsidR="00E106DE" w:rsidRPr="00E106DE">
        <w:rPr>
          <w:color w:val="4C94D8" w:themeColor="text2" w:themeTint="80"/>
        </w:rPr>
        <w:t>Table</w:t>
      </w:r>
      <w:r w:rsidR="00E106DE">
        <w:t xml:space="preserve"> drop down</w:t>
      </w:r>
      <w:r w:rsidR="0070304A">
        <w:t xml:space="preserve"> and double-click on the record displayed in the grid to open the screen</w:t>
      </w:r>
      <w:r w:rsidR="00E106DE">
        <w:t>.</w:t>
      </w:r>
    </w:p>
    <w:p w14:paraId="5BC69D11" w14:textId="77777777" w:rsidR="00E106DE" w:rsidRDefault="00E106DE"/>
    <w:p w14:paraId="38C3DA86" w14:textId="3527FC70" w:rsidR="00372936" w:rsidRDefault="00E106DE">
      <w:r>
        <w:rPr>
          <w:noProof/>
        </w:rPr>
        <w:drawing>
          <wp:inline distT="0" distB="0" distL="0" distR="0" wp14:anchorId="1F6DD2C6" wp14:editId="4BC3E4A9">
            <wp:extent cx="10063480" cy="5274945"/>
            <wp:effectExtent l="0" t="0" r="0" b="1905"/>
            <wp:docPr id="14817560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3480" cy="527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EB02E" w14:textId="77777777" w:rsidR="000C784F" w:rsidRDefault="000C784F"/>
    <w:p w14:paraId="2A906F91" w14:textId="77F8737F" w:rsidR="00372936" w:rsidRDefault="00372936">
      <w:pPr>
        <w:rPr>
          <w:color w:val="4C94D8" w:themeColor="text2" w:themeTint="80"/>
        </w:rPr>
      </w:pPr>
      <w:r>
        <w:rPr>
          <w:noProof/>
          <w:color w:val="4C94D8" w:themeColor="text2" w:themeTint="80"/>
        </w:rPr>
        <w:drawing>
          <wp:inline distT="0" distB="0" distL="0" distR="0" wp14:anchorId="6A9BBFA4" wp14:editId="6A8DD4B2">
            <wp:extent cx="6439301" cy="4744391"/>
            <wp:effectExtent l="0" t="0" r="0" b="0"/>
            <wp:docPr id="11453846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467" cy="475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5BE67" w14:textId="77777777" w:rsidR="000C784F" w:rsidRDefault="000C784F">
      <w:pPr>
        <w:rPr>
          <w:color w:val="4C94D8" w:themeColor="text2" w:themeTint="80"/>
        </w:rPr>
      </w:pPr>
    </w:p>
    <w:p w14:paraId="20DC6097" w14:textId="77777777" w:rsidR="0004060B" w:rsidRDefault="0004060B">
      <w:pPr>
        <w:rPr>
          <w:color w:val="4C94D8" w:themeColor="text2" w:themeTint="80"/>
        </w:rPr>
      </w:pPr>
    </w:p>
    <w:p w14:paraId="2B520FFA" w14:textId="36CBC831" w:rsidR="0004060B" w:rsidRDefault="0004060B">
      <w:pPr>
        <w:rPr>
          <w:color w:val="4C94D8" w:themeColor="text2" w:themeTint="80"/>
        </w:rPr>
      </w:pPr>
      <w:r>
        <w:rPr>
          <w:rFonts w:ascii="Copperplate Gothic Bold" w:hAnsi="Copperplate Gothic Bold"/>
          <w:color w:val="4C94D8" w:themeColor="text2" w:themeTint="80"/>
          <w:sz w:val="32"/>
        </w:rPr>
        <w:t>Approving Payments</w:t>
      </w:r>
    </w:p>
    <w:p w14:paraId="7BD2825B" w14:textId="5777FE34" w:rsidR="00997023" w:rsidRPr="00796A2C" w:rsidRDefault="00F06211">
      <w:pPr>
        <w:rPr>
          <w:color w:val="4C94D8" w:themeColor="text2" w:themeTint="80"/>
        </w:rPr>
      </w:pPr>
      <w:r>
        <w:t xml:space="preserve">Users </w:t>
      </w:r>
      <w:r w:rsidR="002B597A">
        <w:t xml:space="preserve">with authority </w:t>
      </w:r>
      <w:r w:rsidR="00B151A0">
        <w:t xml:space="preserve">can </w:t>
      </w:r>
      <w:r>
        <w:t>approve payments</w:t>
      </w:r>
      <w:r w:rsidR="002B597A">
        <w:t xml:space="preserve"> for printing or export</w:t>
      </w:r>
      <w:r>
        <w:t xml:space="preserve"> using </w:t>
      </w:r>
      <w:r w:rsidR="00796A2C" w:rsidRPr="00796A2C">
        <w:rPr>
          <w:color w:val="4C94D8" w:themeColor="text2" w:themeTint="80"/>
        </w:rPr>
        <w:t>Batch Edit</w:t>
      </w:r>
      <w:r w:rsidR="009C5B7F">
        <w:t xml:space="preserve">.   </w:t>
      </w:r>
      <w:r w:rsidR="00796A2C">
        <w:t xml:space="preserve">  </w:t>
      </w:r>
      <w:r w:rsidR="009C5B7F">
        <w:t>Set the check box next to each payment to be approved in the grid and click the</w:t>
      </w:r>
      <w:r w:rsidR="00796A2C">
        <w:t xml:space="preserve"> </w:t>
      </w:r>
      <w:r w:rsidR="00796A2C" w:rsidRPr="00796A2C">
        <w:rPr>
          <w:color w:val="4C94D8" w:themeColor="text2" w:themeTint="80"/>
        </w:rPr>
        <w:t xml:space="preserve">Approve </w:t>
      </w:r>
      <w:r w:rsidR="00796A2C">
        <w:t>button</w:t>
      </w:r>
      <w:r w:rsidR="009C5B7F">
        <w:t>.</w:t>
      </w:r>
    </w:p>
    <w:p w14:paraId="1168E2F2" w14:textId="52FE2DDF" w:rsidR="00997023" w:rsidRDefault="00810CFC">
      <w:r>
        <w:rPr>
          <w:noProof/>
        </w:rPr>
        <w:drawing>
          <wp:inline distT="0" distB="0" distL="0" distR="0" wp14:anchorId="6740D8A5" wp14:editId="26B042C4">
            <wp:extent cx="14163675" cy="4239895"/>
            <wp:effectExtent l="0" t="0" r="9525" b="8255"/>
            <wp:docPr id="4369077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3675" cy="423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BA935" w14:textId="77777777" w:rsidR="00997023" w:rsidRDefault="00997023"/>
    <w:p w14:paraId="61B8B77E" w14:textId="77777777" w:rsidR="009A7386" w:rsidRDefault="009A7386"/>
    <w:p w14:paraId="56C141DE" w14:textId="01D6C1A7" w:rsidR="0004060B" w:rsidRDefault="0004060B">
      <w:pPr>
        <w:rPr>
          <w:rFonts w:ascii="Copperplate Gothic Bold" w:hAnsi="Copperplate Gothic Bold"/>
          <w:color w:val="4C94D8" w:themeColor="text2" w:themeTint="80"/>
          <w:sz w:val="32"/>
        </w:rPr>
      </w:pPr>
      <w:r>
        <w:rPr>
          <w:rFonts w:ascii="Copperplate Gothic Bold" w:hAnsi="Copperplate Gothic Bold"/>
          <w:color w:val="4C94D8" w:themeColor="text2" w:themeTint="80"/>
          <w:sz w:val="32"/>
        </w:rPr>
        <w:t>Printing Payments</w:t>
      </w:r>
    </w:p>
    <w:p w14:paraId="4CA9DF90" w14:textId="52EF3CD7" w:rsidR="00997023" w:rsidRDefault="007716D8">
      <w:r>
        <w:t xml:space="preserve">Checks are printed using a Crystal Report.  </w:t>
      </w:r>
      <w:r w:rsidR="004B1806">
        <w:t xml:space="preserve">The </w:t>
      </w:r>
      <w:r w:rsidR="004B1806" w:rsidRPr="008E5956">
        <w:rPr>
          <w:color w:val="4C94D8" w:themeColor="text2" w:themeTint="80"/>
        </w:rPr>
        <w:t xml:space="preserve">Check Format </w:t>
      </w:r>
      <w:r w:rsidR="004B1806">
        <w:t>dropdown determines the report to use</w:t>
      </w:r>
      <w:r w:rsidR="00F61EA6">
        <w:t xml:space="preserve">.  There would only be more than one </w:t>
      </w:r>
      <w:r w:rsidR="004B1806">
        <w:t>report</w:t>
      </w:r>
      <w:r w:rsidR="00F61EA6">
        <w:t xml:space="preserve"> to select from </w:t>
      </w:r>
      <w:r>
        <w:t xml:space="preserve">in the event multiple check styles are </w:t>
      </w:r>
      <w:r w:rsidR="004B1806">
        <w:t>used.</w:t>
      </w:r>
      <w:r>
        <w:t xml:space="preserve"> </w:t>
      </w:r>
      <w:r w:rsidR="004B1806">
        <w:t xml:space="preserve"> One possible need is</w:t>
      </w:r>
      <w:r>
        <w:t xml:space="preserve"> for a record keeping copy</w:t>
      </w:r>
      <w:r w:rsidR="004B1806">
        <w:t xml:space="preserve"> to be printed</w:t>
      </w:r>
      <w:r>
        <w:t>.</w:t>
      </w:r>
      <w:r w:rsidR="00ED2B31">
        <w:t xml:space="preserve">  The </w:t>
      </w:r>
      <w:r w:rsidR="00ED2B31" w:rsidRPr="008E5956">
        <w:rPr>
          <w:color w:val="4C94D8" w:themeColor="text2" w:themeTint="80"/>
        </w:rPr>
        <w:t>Check Format</w:t>
      </w:r>
      <w:r w:rsidR="00ED2B31">
        <w:t xml:space="preserve"> </w:t>
      </w:r>
      <w:r w:rsidR="00451205">
        <w:t xml:space="preserve">dropdown </w:t>
      </w:r>
      <w:r w:rsidR="00F61EA6">
        <w:t xml:space="preserve">default </w:t>
      </w:r>
      <w:r w:rsidR="00ED2B31">
        <w:t xml:space="preserve">is </w:t>
      </w:r>
      <w:r w:rsidR="00F61EA6">
        <w:t xml:space="preserve">set </w:t>
      </w:r>
      <w:r w:rsidR="007057F0">
        <w:t xml:space="preserve">in </w:t>
      </w:r>
      <w:r w:rsidR="00F61EA6">
        <w:t>the</w:t>
      </w:r>
      <w:r w:rsidR="00ED2B31">
        <w:t xml:space="preserve"> parameter</w:t>
      </w:r>
      <w:r w:rsidR="00F61EA6">
        <w:t>s</w:t>
      </w:r>
      <w:r w:rsidR="00ED2B31">
        <w:t xml:space="preserve"> </w:t>
      </w:r>
      <w:r w:rsidR="00F61EA6">
        <w:t>screen</w:t>
      </w:r>
      <w:r w:rsidR="00ED2B31">
        <w:t>.</w:t>
      </w:r>
      <w:r w:rsidR="00F61EA6">
        <w:t xml:space="preserve">  </w:t>
      </w:r>
      <w:r w:rsidR="00A2767F">
        <w:t xml:space="preserve"> When the form number sequence is assigned, t</w:t>
      </w:r>
      <w:r w:rsidR="00F61EA6">
        <w:t xml:space="preserve">he </w:t>
      </w:r>
      <w:r w:rsidR="00A2767F">
        <w:t xml:space="preserve">value of the </w:t>
      </w:r>
      <w:r w:rsidR="00F61EA6" w:rsidRPr="00F61EA6">
        <w:rPr>
          <w:color w:val="4C94D8" w:themeColor="text2" w:themeTint="80"/>
        </w:rPr>
        <w:t>First Form Number</w:t>
      </w:r>
      <w:r w:rsidR="00F61EA6">
        <w:t xml:space="preserve"> field sets the </w:t>
      </w:r>
      <w:r w:rsidR="00A2767F">
        <w:t xml:space="preserve">starting number.  The number is maintained </w:t>
      </w:r>
      <w:r w:rsidR="00EC7E1D">
        <w:t>in the bank account table</w:t>
      </w:r>
      <w:r w:rsidR="00A2767F">
        <w:t xml:space="preserve"> and updated once the checks being printed have been posted</w:t>
      </w:r>
      <w:r w:rsidR="00EC7E1D">
        <w:t xml:space="preserve">.  </w:t>
      </w:r>
      <w:r w:rsidR="004B1806">
        <w:t xml:space="preserve">The </w:t>
      </w:r>
      <w:r w:rsidR="004B1806" w:rsidRPr="004B1806">
        <w:rPr>
          <w:color w:val="4C94D8" w:themeColor="text2" w:themeTint="80"/>
        </w:rPr>
        <w:t>Process Date</w:t>
      </w:r>
      <w:r w:rsidR="004B1806">
        <w:t xml:space="preserve"> field is used to assign the date the checks will show as having been posted to history, thus typically </w:t>
      </w:r>
      <w:r w:rsidR="008D1633">
        <w:t xml:space="preserve">left as </w:t>
      </w:r>
      <w:r w:rsidR="004B1806">
        <w:t xml:space="preserve">the current date.  If the </w:t>
      </w:r>
      <w:r w:rsidR="004B1806" w:rsidRPr="004B1806">
        <w:rPr>
          <w:color w:val="4C94D8" w:themeColor="text2" w:themeTint="80"/>
        </w:rPr>
        <w:t xml:space="preserve">Combine Vendor </w:t>
      </w:r>
      <w:r w:rsidR="004B1806">
        <w:t xml:space="preserve">check box is set, then payments for the same vendor will be combined into one physical check.  </w:t>
      </w:r>
      <w:r w:rsidR="00A514DF">
        <w:t>T</w:t>
      </w:r>
      <w:r w:rsidR="00796A2C">
        <w:t xml:space="preserve">he </w:t>
      </w:r>
      <w:r w:rsidR="00796A2C" w:rsidRPr="00796A2C">
        <w:rPr>
          <w:color w:val="4C94D8" w:themeColor="text2" w:themeTint="80"/>
        </w:rPr>
        <w:t>Assign Form Numbers</w:t>
      </w:r>
      <w:r w:rsidR="00796A2C">
        <w:rPr>
          <w:color w:val="4C94D8" w:themeColor="text2" w:themeTint="80"/>
        </w:rPr>
        <w:t xml:space="preserve"> </w:t>
      </w:r>
      <w:r w:rsidR="00796A2C">
        <w:t xml:space="preserve">button </w:t>
      </w:r>
      <w:r w:rsidR="00570A7C">
        <w:t>will</w:t>
      </w:r>
      <w:r w:rsidR="00796A2C">
        <w:t xml:space="preserve"> fill the grid </w:t>
      </w:r>
      <w:r w:rsidR="00221CA9">
        <w:t xml:space="preserve">and assign form numbers for </w:t>
      </w:r>
      <w:r w:rsidR="00570A7C">
        <w:t xml:space="preserve">batched </w:t>
      </w:r>
      <w:r w:rsidR="00796A2C">
        <w:t xml:space="preserve">payments </w:t>
      </w:r>
      <w:r w:rsidR="00570A7C">
        <w:t>match</w:t>
      </w:r>
      <w:r w:rsidR="00B151A0">
        <w:t>ing</w:t>
      </w:r>
      <w:r w:rsidR="00570A7C">
        <w:t xml:space="preserve"> the</w:t>
      </w:r>
      <w:r w:rsidR="00B151A0">
        <w:t xml:space="preserve"> </w:t>
      </w:r>
      <w:r w:rsidR="00B151A0" w:rsidRPr="00B151A0">
        <w:rPr>
          <w:color w:val="4C94D8" w:themeColor="text2" w:themeTint="80"/>
        </w:rPr>
        <w:t>Region(s), Level 1(s)</w:t>
      </w:r>
      <w:r w:rsidR="00B151A0">
        <w:t xml:space="preserve">, </w:t>
      </w:r>
      <w:r w:rsidR="00B151A0" w:rsidRPr="00B151A0">
        <w:rPr>
          <w:color w:val="4C94D8" w:themeColor="text2" w:themeTint="80"/>
        </w:rPr>
        <w:t>Reserves Category</w:t>
      </w:r>
      <w:r w:rsidR="00B151A0">
        <w:t>,</w:t>
      </w:r>
      <w:r w:rsidR="00B151A0" w:rsidRPr="00B151A0">
        <w:rPr>
          <w:color w:val="4C94D8" w:themeColor="text2" w:themeTint="80"/>
        </w:rPr>
        <w:t xml:space="preserve"> Due Date</w:t>
      </w:r>
      <w:r w:rsidR="00B151A0">
        <w:t>,</w:t>
      </w:r>
      <w:r w:rsidR="00B151A0" w:rsidRPr="00B151A0">
        <w:rPr>
          <w:color w:val="4C94D8" w:themeColor="text2" w:themeTint="80"/>
        </w:rPr>
        <w:t xml:space="preserve"> Form Type</w:t>
      </w:r>
      <w:r w:rsidR="00B151A0">
        <w:t>, and</w:t>
      </w:r>
      <w:r w:rsidR="00B151A0" w:rsidRPr="00B151A0">
        <w:rPr>
          <w:color w:val="4C94D8" w:themeColor="text2" w:themeTint="80"/>
        </w:rPr>
        <w:t xml:space="preserve"> Account Number</w:t>
      </w:r>
      <w:r w:rsidR="00B151A0">
        <w:t xml:space="preserve"> </w:t>
      </w:r>
      <w:r w:rsidR="00570A7C">
        <w:t>selection criteria</w:t>
      </w:r>
      <w:r w:rsidR="002459E2">
        <w:t xml:space="preserve"> entered</w:t>
      </w:r>
      <w:r w:rsidR="00570A7C">
        <w:t>.</w:t>
      </w:r>
      <w:r w:rsidR="002459E2">
        <w:t xml:space="preserve">  </w:t>
      </w:r>
      <w:r w:rsidR="00620F7C">
        <w:t xml:space="preserve">Setting the </w:t>
      </w:r>
      <w:r w:rsidR="00620F7C" w:rsidRPr="00620F7C">
        <w:rPr>
          <w:color w:val="4C94D8" w:themeColor="text2" w:themeTint="80"/>
        </w:rPr>
        <w:t>Include Payments set for ACH</w:t>
      </w:r>
      <w:r w:rsidR="00620F7C">
        <w:t xml:space="preserve"> checkbox will cause</w:t>
      </w:r>
      <w:r w:rsidR="00DD26CD">
        <w:t xml:space="preserve"> batched</w:t>
      </w:r>
      <w:r w:rsidR="00620F7C">
        <w:t xml:space="preserve"> payments </w:t>
      </w:r>
      <w:r w:rsidR="009043C4">
        <w:t xml:space="preserve">which are </w:t>
      </w:r>
      <w:proofErr w:type="gramStart"/>
      <w:r w:rsidR="008E4685">
        <w:t>set</w:t>
      </w:r>
      <w:proofErr w:type="gramEnd"/>
      <w:r w:rsidR="008E4685">
        <w:t xml:space="preserve"> only</w:t>
      </w:r>
      <w:r w:rsidR="00620F7C">
        <w:t xml:space="preserve"> for export</w:t>
      </w:r>
      <w:r w:rsidR="003B3D56">
        <w:t xml:space="preserve"> </w:t>
      </w:r>
      <w:r w:rsidR="009043C4">
        <w:t>and</w:t>
      </w:r>
      <w:r w:rsidR="003B3D56">
        <w:t xml:space="preserve"> have not been exported</w:t>
      </w:r>
      <w:r w:rsidR="00221CA9">
        <w:t>,</w:t>
      </w:r>
      <w:r w:rsidR="00620F7C">
        <w:t xml:space="preserve"> to be included in the print job</w:t>
      </w:r>
      <w:r w:rsidR="003B3D56">
        <w:t xml:space="preserve"> if they match the selection criteria. </w:t>
      </w:r>
      <w:r w:rsidR="00620F7C">
        <w:t xml:space="preserve"> Once the payments are in the grid, they cannot be altered or deleted by any user using </w:t>
      </w:r>
      <w:r w:rsidR="006B6EDB">
        <w:t>the Batch Edit screen</w:t>
      </w:r>
      <w:r w:rsidR="00DD26CD">
        <w:t xml:space="preserve">.   This stops payment data from changing once the payment process has started.   </w:t>
      </w:r>
      <w:r w:rsidR="006B6EDB">
        <w:t xml:space="preserve"> T</w:t>
      </w:r>
      <w:r w:rsidR="00620F7C">
        <w:t xml:space="preserve">he </w:t>
      </w:r>
      <w:r w:rsidR="00620F7C" w:rsidRPr="00620F7C">
        <w:rPr>
          <w:color w:val="4C94D8" w:themeColor="text2" w:themeTint="80"/>
        </w:rPr>
        <w:t>Clear Assigned Form Numbers</w:t>
      </w:r>
      <w:r w:rsidR="00620F7C">
        <w:t xml:space="preserve"> button </w:t>
      </w:r>
      <w:r w:rsidR="006B6EDB">
        <w:t>clears the grid if changes are needed</w:t>
      </w:r>
      <w:r w:rsidR="00DD26CD">
        <w:t xml:space="preserve">.  </w:t>
      </w:r>
      <w:r w:rsidR="00620F7C">
        <w:t xml:space="preserve"> </w:t>
      </w:r>
      <w:r w:rsidR="008E5956">
        <w:t xml:space="preserve">   </w:t>
      </w:r>
      <w:r w:rsidR="00620F7C">
        <w:t xml:space="preserve">Once </w:t>
      </w:r>
      <w:r w:rsidR="00DD26CD">
        <w:t xml:space="preserve">the </w:t>
      </w:r>
      <w:r w:rsidR="00DD26CD" w:rsidRPr="00DD26CD">
        <w:rPr>
          <w:color w:val="4C94D8" w:themeColor="text2" w:themeTint="80"/>
        </w:rPr>
        <w:t>Print Payments</w:t>
      </w:r>
      <w:r w:rsidR="00620F7C" w:rsidRPr="00DD26CD">
        <w:rPr>
          <w:color w:val="4C94D8" w:themeColor="text2" w:themeTint="80"/>
        </w:rPr>
        <w:t xml:space="preserve"> </w:t>
      </w:r>
      <w:r w:rsidR="00620F7C">
        <w:t xml:space="preserve">button has been clicked, the </w:t>
      </w:r>
      <w:r w:rsidR="00620F7C" w:rsidRPr="00620F7C">
        <w:rPr>
          <w:color w:val="4C94D8" w:themeColor="text2" w:themeTint="80"/>
        </w:rPr>
        <w:t xml:space="preserve">Assign Form Numbers </w:t>
      </w:r>
      <w:r w:rsidR="00620F7C">
        <w:t xml:space="preserve">can no longer be used until the checks have been posted with the </w:t>
      </w:r>
      <w:r w:rsidR="00620F7C" w:rsidRPr="00620F7C">
        <w:rPr>
          <w:color w:val="4C94D8" w:themeColor="text2" w:themeTint="80"/>
        </w:rPr>
        <w:t>Post All Payments</w:t>
      </w:r>
      <w:r w:rsidR="00620F7C">
        <w:t xml:space="preserve"> button or </w:t>
      </w:r>
      <w:r w:rsidR="00BF02B8">
        <w:t xml:space="preserve">the </w:t>
      </w:r>
      <w:r w:rsidR="00BF02B8" w:rsidRPr="00620F7C">
        <w:rPr>
          <w:color w:val="4C94D8" w:themeColor="text2" w:themeTint="80"/>
        </w:rPr>
        <w:t>Clear Assigned Form Numbers</w:t>
      </w:r>
      <w:r w:rsidR="00BF02B8">
        <w:t xml:space="preserve"> button is clicked.  This helps the user to remember to post payments after printing.</w:t>
      </w:r>
    </w:p>
    <w:p w14:paraId="108F63F6" w14:textId="77777777" w:rsidR="00997023" w:rsidRDefault="00997023"/>
    <w:p w14:paraId="12FAA6F8" w14:textId="22F68D58" w:rsidR="00997023" w:rsidRDefault="00A514DF">
      <w:r>
        <w:rPr>
          <w:noProof/>
        </w:rPr>
        <w:drawing>
          <wp:inline distT="0" distB="0" distL="0" distR="0" wp14:anchorId="3FD30759" wp14:editId="5EE2196F">
            <wp:extent cx="11319510" cy="6973570"/>
            <wp:effectExtent l="0" t="0" r="0" b="0"/>
            <wp:docPr id="18410720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9510" cy="697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B8795" w14:textId="77777777" w:rsidR="00997023" w:rsidRDefault="00997023"/>
    <w:p w14:paraId="753C0E38" w14:textId="7E9B6990" w:rsidR="00997023" w:rsidRDefault="008E5956">
      <w:pPr>
        <w:rPr>
          <w:rFonts w:ascii="Copperplate Gothic Bold" w:hAnsi="Copperplate Gothic Bold"/>
          <w:color w:val="4C94D8" w:themeColor="text2" w:themeTint="80"/>
          <w:sz w:val="32"/>
        </w:rPr>
      </w:pPr>
      <w:r>
        <w:rPr>
          <w:rFonts w:ascii="Copperplate Gothic Bold" w:hAnsi="Copperplate Gothic Bold"/>
          <w:color w:val="4C94D8" w:themeColor="text2" w:themeTint="80"/>
          <w:sz w:val="32"/>
        </w:rPr>
        <w:t>Check Format Default</w:t>
      </w:r>
    </w:p>
    <w:p w14:paraId="14BFA84A" w14:textId="19CD8EA0" w:rsidR="008E5956" w:rsidRDefault="008E5956">
      <w:pPr>
        <w:rPr>
          <w:rFonts w:ascii="Copperplate Gothic Bold" w:hAnsi="Copperplate Gothic Bold"/>
          <w:color w:val="4C94D8" w:themeColor="text2" w:themeTint="80"/>
          <w:sz w:val="32"/>
        </w:rPr>
      </w:pPr>
      <w:r>
        <w:t xml:space="preserve">The Payment Printing </w:t>
      </w:r>
      <w:proofErr w:type="gramStart"/>
      <w:r>
        <w:t>screen</w:t>
      </w:r>
      <w:proofErr w:type="gramEnd"/>
      <w:r>
        <w:t xml:space="preserve"> </w:t>
      </w:r>
      <w:r w:rsidRPr="008E5956">
        <w:rPr>
          <w:color w:val="4C94D8" w:themeColor="text2" w:themeTint="80"/>
        </w:rPr>
        <w:t xml:space="preserve">Check Format </w:t>
      </w:r>
      <w:r>
        <w:t xml:space="preserve">dropdown defaults to the setting found in </w:t>
      </w:r>
      <w:r w:rsidRPr="008E5956">
        <w:rPr>
          <w:color w:val="4C94D8" w:themeColor="text2" w:themeTint="80"/>
        </w:rPr>
        <w:t xml:space="preserve">Check Format </w:t>
      </w:r>
      <w:r>
        <w:t>on the parameters screen.</w:t>
      </w:r>
    </w:p>
    <w:p w14:paraId="2068551E" w14:textId="6958F81C" w:rsidR="008E5956" w:rsidRDefault="008E5956">
      <w:r>
        <w:rPr>
          <w:noProof/>
        </w:rPr>
        <w:drawing>
          <wp:inline distT="0" distB="0" distL="0" distR="0" wp14:anchorId="0C2A3B53" wp14:editId="1FB4777F">
            <wp:extent cx="11266170" cy="4345940"/>
            <wp:effectExtent l="0" t="0" r="0" b="0"/>
            <wp:docPr id="11309592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6170" cy="434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35CF4" w14:textId="77777777" w:rsidR="008E5956" w:rsidRDefault="008E5956"/>
    <w:p w14:paraId="6B5BC100" w14:textId="1C03DAFB" w:rsidR="00796A2C" w:rsidRDefault="008E5956">
      <w:r>
        <w:rPr>
          <w:noProof/>
        </w:rPr>
        <w:drawing>
          <wp:inline distT="0" distB="0" distL="0" distR="0" wp14:anchorId="6BF42B15" wp14:editId="3BFAB523">
            <wp:extent cx="11372215" cy="3455670"/>
            <wp:effectExtent l="0" t="0" r="635" b="0"/>
            <wp:docPr id="14506964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21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14001" w14:textId="77777777" w:rsidR="004F7BD7" w:rsidRDefault="004F7BD7"/>
    <w:p w14:paraId="7A3B8684" w14:textId="77777777" w:rsidR="004F7BD7" w:rsidRDefault="004F7BD7"/>
    <w:p w14:paraId="39D3FD01" w14:textId="77777777" w:rsidR="004F7BD7" w:rsidRDefault="004F7BD7"/>
    <w:p w14:paraId="0750755A" w14:textId="77777777" w:rsidR="004F7BD7" w:rsidRDefault="004F7BD7"/>
    <w:p w14:paraId="48B37A98" w14:textId="4DF5773A" w:rsidR="004F7BD7" w:rsidRDefault="000F0236">
      <w:pPr>
        <w:rPr>
          <w:rFonts w:ascii="Copperplate Gothic Bold" w:hAnsi="Copperplate Gothic Bold"/>
          <w:color w:val="4C94D8" w:themeColor="text2" w:themeTint="80"/>
          <w:sz w:val="32"/>
        </w:rPr>
      </w:pPr>
      <w:r>
        <w:rPr>
          <w:rFonts w:ascii="Copperplate Gothic Bold" w:hAnsi="Copperplate Gothic Bold"/>
          <w:color w:val="4C94D8" w:themeColor="text2" w:themeTint="80"/>
          <w:sz w:val="32"/>
        </w:rPr>
        <w:t xml:space="preserve">Bank Account </w:t>
      </w:r>
    </w:p>
    <w:p w14:paraId="2A96B181" w14:textId="60AD66A3" w:rsidR="0082285E" w:rsidRDefault="0082285E">
      <w:r>
        <w:t xml:space="preserve">The next bank account number along with other bank data used on the check can be found </w:t>
      </w:r>
      <w:proofErr w:type="gramStart"/>
      <w:r>
        <w:t>in</w:t>
      </w:r>
      <w:proofErr w:type="gramEnd"/>
      <w:r>
        <w:t xml:space="preserve"> the bank account screen.</w:t>
      </w:r>
    </w:p>
    <w:p w14:paraId="5B090D75" w14:textId="6707961B" w:rsidR="004F7BD7" w:rsidRDefault="004F7BD7">
      <w:r>
        <w:rPr>
          <w:noProof/>
        </w:rPr>
        <w:drawing>
          <wp:inline distT="0" distB="0" distL="0" distR="0" wp14:anchorId="291670C3" wp14:editId="3057A467">
            <wp:extent cx="9995836" cy="5002177"/>
            <wp:effectExtent l="0" t="0" r="5715" b="8255"/>
            <wp:docPr id="8262974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297443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35914" cy="502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F9659" w14:textId="77777777" w:rsidR="0082285E" w:rsidRDefault="0082285E"/>
    <w:p w14:paraId="62310C92" w14:textId="70C54258" w:rsidR="0082285E" w:rsidRDefault="0082285E">
      <w:r>
        <w:rPr>
          <w:noProof/>
        </w:rPr>
        <w:drawing>
          <wp:inline distT="0" distB="0" distL="0" distR="0" wp14:anchorId="3444C304" wp14:editId="0C0D2EB3">
            <wp:extent cx="11304905" cy="6294755"/>
            <wp:effectExtent l="0" t="0" r="0" b="0"/>
            <wp:docPr id="7105832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905" cy="629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28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023"/>
    <w:rsid w:val="0004060B"/>
    <w:rsid w:val="000508C9"/>
    <w:rsid w:val="000C784F"/>
    <w:rsid w:val="000F0236"/>
    <w:rsid w:val="001569DB"/>
    <w:rsid w:val="00166C3D"/>
    <w:rsid w:val="00217C10"/>
    <w:rsid w:val="00221CA9"/>
    <w:rsid w:val="002459E2"/>
    <w:rsid w:val="002B597A"/>
    <w:rsid w:val="00372936"/>
    <w:rsid w:val="00395DBF"/>
    <w:rsid w:val="003B289B"/>
    <w:rsid w:val="003B3D56"/>
    <w:rsid w:val="00451205"/>
    <w:rsid w:val="004B1806"/>
    <w:rsid w:val="004F7BD7"/>
    <w:rsid w:val="00570A7C"/>
    <w:rsid w:val="005C1DB6"/>
    <w:rsid w:val="00620F7C"/>
    <w:rsid w:val="0067253F"/>
    <w:rsid w:val="006B6EDB"/>
    <w:rsid w:val="006C4437"/>
    <w:rsid w:val="0070304A"/>
    <w:rsid w:val="007057F0"/>
    <w:rsid w:val="007716D8"/>
    <w:rsid w:val="00796A2C"/>
    <w:rsid w:val="00810CFC"/>
    <w:rsid w:val="0082285E"/>
    <w:rsid w:val="008A5E87"/>
    <w:rsid w:val="008D1633"/>
    <w:rsid w:val="008E4685"/>
    <w:rsid w:val="008E5956"/>
    <w:rsid w:val="009043C4"/>
    <w:rsid w:val="009862B3"/>
    <w:rsid w:val="00997023"/>
    <w:rsid w:val="009A7386"/>
    <w:rsid w:val="009C5B7F"/>
    <w:rsid w:val="009D55D1"/>
    <w:rsid w:val="00A2767F"/>
    <w:rsid w:val="00A514DF"/>
    <w:rsid w:val="00A5237B"/>
    <w:rsid w:val="00A848C5"/>
    <w:rsid w:val="00AA6197"/>
    <w:rsid w:val="00AD39A9"/>
    <w:rsid w:val="00B072FD"/>
    <w:rsid w:val="00B151A0"/>
    <w:rsid w:val="00B42A80"/>
    <w:rsid w:val="00BF02B8"/>
    <w:rsid w:val="00CD3AD5"/>
    <w:rsid w:val="00D1749A"/>
    <w:rsid w:val="00DD26CD"/>
    <w:rsid w:val="00DE6183"/>
    <w:rsid w:val="00E106DE"/>
    <w:rsid w:val="00E12BD7"/>
    <w:rsid w:val="00EC7E1D"/>
    <w:rsid w:val="00ED2B31"/>
    <w:rsid w:val="00F06211"/>
    <w:rsid w:val="00F61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02B24"/>
  <w15:chartTrackingRefBased/>
  <w15:docId w15:val="{71F94AEA-6B50-4E69-8F66-5ECC49969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70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70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70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70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70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70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70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70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70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70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70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70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702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70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70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70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70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70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70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70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70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70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70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70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70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70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70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702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702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87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1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Peck</dc:creator>
  <cp:keywords/>
  <dc:description/>
  <cp:lastModifiedBy>Matt Peck</cp:lastModifiedBy>
  <cp:revision>45</cp:revision>
  <dcterms:created xsi:type="dcterms:W3CDTF">2025-05-28T15:43:00Z</dcterms:created>
  <dcterms:modified xsi:type="dcterms:W3CDTF">2025-05-29T17:19:00Z</dcterms:modified>
</cp:coreProperties>
</file>