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133627" w14:textId="5BB54C9D" w:rsidR="00302D6E" w:rsidRPr="00262B6C" w:rsidRDefault="00302D6E" w:rsidP="00302D6E">
      <w:pPr>
        <w:pStyle w:val="Heading2"/>
        <w:rPr>
          <w:rFonts w:ascii="Cambria" w:hAnsi="Cambria"/>
          <w:b/>
          <w:bCs/>
          <w:color w:val="215E99" w:themeColor="text2" w:themeTint="BF"/>
          <w:sz w:val="48"/>
          <w:szCs w:val="48"/>
        </w:rPr>
      </w:pPr>
      <w:bookmarkStart w:id="0" w:name="_Toc17795876"/>
      <w:r w:rsidRPr="00262B6C">
        <w:rPr>
          <w:rFonts w:ascii="Cambria" w:hAnsi="Cambria"/>
          <w:b/>
          <w:bCs/>
          <w:color w:val="215E99" w:themeColor="text2" w:themeTint="BF"/>
          <w:sz w:val="48"/>
          <w:szCs w:val="48"/>
        </w:rPr>
        <w:t>Medica</w:t>
      </w:r>
      <w:r w:rsidR="00156BC5" w:rsidRPr="00262B6C">
        <w:rPr>
          <w:rFonts w:ascii="Cambria" w:hAnsi="Cambria"/>
          <w:b/>
          <w:bCs/>
          <w:color w:val="215E99" w:themeColor="text2" w:themeTint="BF"/>
          <w:sz w:val="48"/>
          <w:szCs w:val="48"/>
        </w:rPr>
        <w:t>l</w:t>
      </w:r>
      <w:r w:rsidRPr="00262B6C">
        <w:rPr>
          <w:rFonts w:ascii="Cambria" w:hAnsi="Cambria"/>
          <w:b/>
          <w:bCs/>
          <w:color w:val="215E99" w:themeColor="text2" w:themeTint="BF"/>
          <w:sz w:val="48"/>
          <w:szCs w:val="48"/>
        </w:rPr>
        <w:t xml:space="preserve"> Fee Module</w:t>
      </w:r>
    </w:p>
    <w:bookmarkEnd w:id="0"/>
    <w:p w14:paraId="1B8D093E" w14:textId="484F9346" w:rsidR="00302D6E" w:rsidRDefault="00302D6E" w:rsidP="00302D6E">
      <w:pPr>
        <w:spacing w:before="240" w:after="200"/>
      </w:pPr>
      <w:r>
        <w:t>The Medical Fee</w:t>
      </w:r>
      <w:r>
        <w:fldChar w:fldCharType="begin"/>
      </w:r>
      <w:r>
        <w:instrText xml:space="preserve"> XE "Medical Fee" </w:instrText>
      </w:r>
      <w:r>
        <w:fldChar w:fldCharType="end"/>
      </w:r>
      <w:r>
        <w:t xml:space="preserve"> module is an optional add-on feature designed to </w:t>
      </w:r>
      <w:r w:rsidR="00156BC5">
        <w:t>prevent medical overcharges</w:t>
      </w:r>
      <w:r>
        <w:t>. Each line item on the invoice</w:t>
      </w:r>
      <w:r w:rsidR="003938A3">
        <w:t xml:space="preserve"> is</w:t>
      </w:r>
      <w:r>
        <w:t xml:space="preserve"> </w:t>
      </w:r>
      <w:r w:rsidR="00156BC5">
        <w:t>reviewed</w:t>
      </w:r>
      <w:r>
        <w:t xml:space="preserve"> based on the state’s fee schedule, the DOL’s OWCP schedule, and/or the Usual and Customary Reimbursement (UCR</w:t>
      </w:r>
      <w:r>
        <w:fldChar w:fldCharType="begin"/>
      </w:r>
      <w:r>
        <w:instrText xml:space="preserve"> XE "UCR" </w:instrText>
      </w:r>
      <w:r>
        <w:fldChar w:fldCharType="end"/>
      </w:r>
      <w:r>
        <w:t>) value</w:t>
      </w:r>
      <w:r w:rsidR="003938A3">
        <w:t xml:space="preserve"> depending on the set up</w:t>
      </w:r>
      <w:r>
        <w:t>. A vendor</w:t>
      </w:r>
      <w:r>
        <w:fldChar w:fldCharType="begin"/>
      </w:r>
      <w:r>
        <w:instrText xml:space="preserve"> XE "vendor" </w:instrText>
      </w:r>
      <w:r>
        <w:fldChar w:fldCharType="end"/>
      </w:r>
      <w:r>
        <w:t>’s custom fee schedule may also be used.  The UCR</w:t>
      </w:r>
      <w:r>
        <w:fldChar w:fldCharType="begin"/>
      </w:r>
      <w:r>
        <w:instrText xml:space="preserve"> XE "UCR" </w:instrText>
      </w:r>
      <w:r>
        <w:fldChar w:fldCharType="end"/>
      </w:r>
      <w:r>
        <w:t xml:space="preserve"> module is an optional feature and not part of the standard ATS/Comp Medical Fee</w:t>
      </w:r>
      <w:r>
        <w:fldChar w:fldCharType="begin"/>
      </w:r>
      <w:r>
        <w:instrText xml:space="preserve"> XE "Medical Fee" </w:instrText>
      </w:r>
      <w:r>
        <w:fldChar w:fldCharType="end"/>
      </w:r>
      <w:r>
        <w:t xml:space="preserve"> product.  Bundling</w:t>
      </w:r>
      <w:r>
        <w:fldChar w:fldCharType="begin"/>
      </w:r>
      <w:r>
        <w:instrText xml:space="preserve"> XE "Bundling" </w:instrText>
      </w:r>
      <w:r>
        <w:fldChar w:fldCharType="end"/>
      </w:r>
      <w:r>
        <w:t xml:space="preserve"> and unbundling is another optional feature that is available. The data to implement any of these features is available from a third party.</w:t>
      </w:r>
    </w:p>
    <w:p w14:paraId="241C5156" w14:textId="77777777" w:rsidR="00116536" w:rsidRPr="00116536" w:rsidRDefault="00116536" w:rsidP="00116536">
      <w:bookmarkStart w:id="1" w:name="_Toc17795878"/>
    </w:p>
    <w:p w14:paraId="2F417B9C" w14:textId="77777777" w:rsidR="00302D6E" w:rsidRPr="00DA64CC" w:rsidRDefault="00302D6E" w:rsidP="00302D6E">
      <w:pPr>
        <w:pStyle w:val="Heading3"/>
        <w:rPr>
          <w:rFonts w:ascii="Copperplate Gothic Bold" w:hAnsi="Copperplate Gothic Bold"/>
          <w:sz w:val="24"/>
          <w:szCs w:val="24"/>
        </w:rPr>
      </w:pPr>
      <w:r w:rsidRPr="00DA64CC">
        <w:rPr>
          <w:rFonts w:ascii="Copperplate Gothic Bold" w:hAnsi="Copperplate Gothic Bold"/>
          <w:color w:val="4C94D8" w:themeColor="text2" w:themeTint="80"/>
          <w:sz w:val="24"/>
          <w:szCs w:val="24"/>
        </w:rPr>
        <w:t>Making a Payment</w:t>
      </w:r>
      <w:bookmarkEnd w:id="1"/>
    </w:p>
    <w:p w14:paraId="7E2FEED4" w14:textId="231675D1" w:rsidR="00302D6E" w:rsidRDefault="00302D6E" w:rsidP="00302D6E">
      <w:pPr>
        <w:spacing w:before="240" w:after="200"/>
        <w:ind w:left="360"/>
      </w:pPr>
      <w:r>
        <w:t>Fields on the entry screen:</w:t>
      </w:r>
    </w:p>
    <w:tbl>
      <w:tblPr>
        <w:tblStyle w:val="TableGrid"/>
        <w:tblW w:w="0" w:type="auto"/>
        <w:tblInd w:w="468" w:type="dxa"/>
        <w:tblLook w:val="04A0" w:firstRow="1" w:lastRow="0" w:firstColumn="1" w:lastColumn="0" w:noHBand="0" w:noVBand="1"/>
      </w:tblPr>
      <w:tblGrid>
        <w:gridCol w:w="1952"/>
        <w:gridCol w:w="6930"/>
      </w:tblGrid>
      <w:tr w:rsidR="00302D6E" w14:paraId="40B1416D" w14:textId="77777777" w:rsidTr="009B7CE8">
        <w:trPr>
          <w:tblHeader/>
        </w:trPr>
        <w:tc>
          <w:tcPr>
            <w:tcW w:w="1952" w:type="dxa"/>
            <w:tcBorders>
              <w:top w:val="single" w:sz="4" w:space="0" w:color="auto"/>
              <w:left w:val="single" w:sz="4" w:space="0" w:color="auto"/>
              <w:bottom w:val="single" w:sz="4" w:space="0" w:color="auto"/>
              <w:right w:val="single" w:sz="4" w:space="0" w:color="auto"/>
            </w:tcBorders>
            <w:shd w:val="clear" w:color="auto" w:fill="0F4761" w:themeFill="accent1" w:themeFillShade="BF"/>
            <w:hideMark/>
          </w:tcPr>
          <w:p w14:paraId="0FEA2F15" w14:textId="77777777" w:rsidR="00302D6E" w:rsidRDefault="00302D6E" w:rsidP="009B7CE8">
            <w:pPr>
              <w:spacing w:before="120" w:after="120"/>
              <w:rPr>
                <w:rFonts w:cstheme="minorBidi"/>
                <w:b/>
                <w:color w:val="FFFFFF" w:themeColor="background1"/>
              </w:rPr>
            </w:pPr>
            <w:r>
              <w:rPr>
                <w:rFonts w:cstheme="minorBidi"/>
                <w:b/>
                <w:color w:val="FFFFFF" w:themeColor="background1"/>
              </w:rPr>
              <w:t>Field Name</w:t>
            </w:r>
          </w:p>
        </w:tc>
        <w:tc>
          <w:tcPr>
            <w:tcW w:w="6930" w:type="dxa"/>
            <w:tcBorders>
              <w:top w:val="single" w:sz="4" w:space="0" w:color="auto"/>
              <w:left w:val="single" w:sz="4" w:space="0" w:color="auto"/>
              <w:bottom w:val="single" w:sz="4" w:space="0" w:color="auto"/>
              <w:right w:val="single" w:sz="4" w:space="0" w:color="auto"/>
            </w:tcBorders>
            <w:shd w:val="clear" w:color="auto" w:fill="0F4761" w:themeFill="accent1" w:themeFillShade="BF"/>
            <w:hideMark/>
          </w:tcPr>
          <w:p w14:paraId="261CFA0B" w14:textId="77777777" w:rsidR="00302D6E" w:rsidRDefault="00302D6E" w:rsidP="009B7CE8">
            <w:pPr>
              <w:spacing w:before="120" w:after="120"/>
              <w:rPr>
                <w:rFonts w:cstheme="minorBidi"/>
                <w:b/>
                <w:color w:val="FFFFFF" w:themeColor="background1"/>
              </w:rPr>
            </w:pPr>
            <w:r>
              <w:rPr>
                <w:rFonts w:cstheme="minorBidi"/>
                <w:b/>
                <w:color w:val="FFFFFF" w:themeColor="background1"/>
              </w:rPr>
              <w:t>Description</w:t>
            </w:r>
          </w:p>
        </w:tc>
      </w:tr>
      <w:tr w:rsidR="00302D6E" w14:paraId="4AAC6886" w14:textId="77777777" w:rsidTr="009B7CE8">
        <w:trPr>
          <w:cantSplit/>
        </w:trPr>
        <w:tc>
          <w:tcPr>
            <w:tcW w:w="1952" w:type="dxa"/>
            <w:tcBorders>
              <w:top w:val="single" w:sz="4" w:space="0" w:color="auto"/>
              <w:left w:val="single" w:sz="4" w:space="0" w:color="auto"/>
              <w:bottom w:val="single" w:sz="4" w:space="0" w:color="auto"/>
              <w:right w:val="single" w:sz="4" w:space="0" w:color="auto"/>
            </w:tcBorders>
            <w:hideMark/>
          </w:tcPr>
          <w:p w14:paraId="6B27CCBC" w14:textId="77777777" w:rsidR="00302D6E" w:rsidRDefault="00302D6E" w:rsidP="009B7CE8">
            <w:pPr>
              <w:rPr>
                <w:rFonts w:ascii="Arial" w:hAnsi="Arial" w:cs="Arial"/>
                <w:sz w:val="20"/>
                <w:szCs w:val="20"/>
              </w:rPr>
            </w:pPr>
            <w:r>
              <w:rPr>
                <w:rFonts w:ascii="Arial" w:hAnsi="Arial" w:cs="Arial"/>
                <w:sz w:val="20"/>
                <w:szCs w:val="20"/>
              </w:rPr>
              <w:t>Form Type</w:t>
            </w:r>
          </w:p>
        </w:tc>
        <w:tc>
          <w:tcPr>
            <w:tcW w:w="6930" w:type="dxa"/>
            <w:tcBorders>
              <w:top w:val="single" w:sz="4" w:space="0" w:color="auto"/>
              <w:left w:val="single" w:sz="4" w:space="0" w:color="auto"/>
              <w:bottom w:val="single" w:sz="4" w:space="0" w:color="auto"/>
              <w:right w:val="single" w:sz="4" w:space="0" w:color="auto"/>
            </w:tcBorders>
            <w:hideMark/>
          </w:tcPr>
          <w:p w14:paraId="70E635D7" w14:textId="77777777" w:rsidR="00302D6E" w:rsidRDefault="00302D6E" w:rsidP="009B7CE8">
            <w:pPr>
              <w:rPr>
                <w:rFonts w:ascii="Arial" w:hAnsi="Arial" w:cs="Arial"/>
                <w:sz w:val="20"/>
                <w:szCs w:val="20"/>
              </w:rPr>
            </w:pPr>
            <w:r>
              <w:rPr>
                <w:rFonts w:ascii="Arial" w:hAnsi="Arial" w:cs="Arial"/>
                <w:sz w:val="20"/>
                <w:szCs w:val="20"/>
              </w:rPr>
              <w:t>The type of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either check or voucher.</w:t>
            </w:r>
          </w:p>
        </w:tc>
      </w:tr>
      <w:tr w:rsidR="00302D6E" w14:paraId="45EE8E9D" w14:textId="77777777" w:rsidTr="009B7CE8">
        <w:trPr>
          <w:cantSplit/>
        </w:trPr>
        <w:tc>
          <w:tcPr>
            <w:tcW w:w="1952" w:type="dxa"/>
            <w:tcBorders>
              <w:top w:val="single" w:sz="4" w:space="0" w:color="auto"/>
              <w:left w:val="single" w:sz="4" w:space="0" w:color="auto"/>
              <w:bottom w:val="single" w:sz="4" w:space="0" w:color="auto"/>
              <w:right w:val="single" w:sz="4" w:space="0" w:color="auto"/>
            </w:tcBorders>
            <w:hideMark/>
          </w:tcPr>
          <w:p w14:paraId="5332BA6A" w14:textId="77777777" w:rsidR="00302D6E" w:rsidRDefault="00302D6E" w:rsidP="009B7CE8">
            <w:pPr>
              <w:rPr>
                <w:rFonts w:ascii="Arial" w:hAnsi="Arial" w:cs="Arial"/>
                <w:sz w:val="20"/>
                <w:szCs w:val="20"/>
              </w:rPr>
            </w:pPr>
            <w:r>
              <w:rPr>
                <w:rFonts w:ascii="Arial" w:hAnsi="Arial" w:cs="Arial"/>
                <w:sz w:val="20"/>
                <w:szCs w:val="20"/>
              </w:rPr>
              <w:t>Invoice Number</w:t>
            </w:r>
          </w:p>
        </w:tc>
        <w:tc>
          <w:tcPr>
            <w:tcW w:w="6930" w:type="dxa"/>
            <w:tcBorders>
              <w:top w:val="single" w:sz="4" w:space="0" w:color="auto"/>
              <w:left w:val="single" w:sz="4" w:space="0" w:color="auto"/>
              <w:bottom w:val="single" w:sz="4" w:space="0" w:color="auto"/>
              <w:right w:val="single" w:sz="4" w:space="0" w:color="auto"/>
            </w:tcBorders>
            <w:hideMark/>
          </w:tcPr>
          <w:p w14:paraId="5C265743" w14:textId="77777777" w:rsidR="00302D6E" w:rsidRDefault="00302D6E" w:rsidP="009B7CE8">
            <w:pPr>
              <w:rPr>
                <w:rFonts w:ascii="Arial" w:hAnsi="Arial" w:cs="Arial"/>
                <w:sz w:val="20"/>
                <w:szCs w:val="20"/>
              </w:rPr>
            </w:pPr>
            <w:r>
              <w:rPr>
                <w:rFonts w:ascii="Arial" w:hAnsi="Arial" w:cs="Arial"/>
                <w:sz w:val="20"/>
                <w:szCs w:val="20"/>
              </w:rPr>
              <w:t>The invoice number being paid.</w:t>
            </w:r>
          </w:p>
        </w:tc>
      </w:tr>
      <w:tr w:rsidR="00302D6E" w14:paraId="29843158" w14:textId="77777777" w:rsidTr="009B7CE8">
        <w:trPr>
          <w:cantSplit/>
        </w:trPr>
        <w:tc>
          <w:tcPr>
            <w:tcW w:w="1952" w:type="dxa"/>
            <w:tcBorders>
              <w:top w:val="single" w:sz="4" w:space="0" w:color="auto"/>
              <w:left w:val="single" w:sz="4" w:space="0" w:color="auto"/>
              <w:bottom w:val="single" w:sz="4" w:space="0" w:color="auto"/>
              <w:right w:val="single" w:sz="4" w:space="0" w:color="auto"/>
            </w:tcBorders>
            <w:hideMark/>
          </w:tcPr>
          <w:p w14:paraId="6BE1FEBD" w14:textId="77777777" w:rsidR="00302D6E" w:rsidRDefault="00302D6E" w:rsidP="009B7CE8">
            <w:pPr>
              <w:rPr>
                <w:rFonts w:ascii="Arial" w:hAnsi="Arial" w:cs="Arial"/>
                <w:sz w:val="20"/>
                <w:szCs w:val="20"/>
              </w:rPr>
            </w:pPr>
            <w:r>
              <w:rPr>
                <w:rFonts w:ascii="Arial" w:hAnsi="Arial" w:cs="Arial"/>
                <w:sz w:val="20"/>
                <w:szCs w:val="20"/>
              </w:rPr>
              <w:t>Invoice Date</w:t>
            </w:r>
          </w:p>
        </w:tc>
        <w:tc>
          <w:tcPr>
            <w:tcW w:w="6930" w:type="dxa"/>
            <w:tcBorders>
              <w:top w:val="single" w:sz="4" w:space="0" w:color="auto"/>
              <w:left w:val="single" w:sz="4" w:space="0" w:color="auto"/>
              <w:bottom w:val="single" w:sz="4" w:space="0" w:color="auto"/>
              <w:right w:val="single" w:sz="4" w:space="0" w:color="auto"/>
            </w:tcBorders>
            <w:hideMark/>
          </w:tcPr>
          <w:p w14:paraId="57F69377" w14:textId="77777777" w:rsidR="00302D6E" w:rsidRDefault="00302D6E" w:rsidP="009B7CE8">
            <w:pPr>
              <w:rPr>
                <w:rFonts w:ascii="Arial" w:hAnsi="Arial" w:cs="Arial"/>
                <w:sz w:val="20"/>
                <w:szCs w:val="20"/>
              </w:rPr>
            </w:pPr>
            <w:r>
              <w:rPr>
                <w:rFonts w:ascii="Arial" w:hAnsi="Arial" w:cs="Arial"/>
                <w:sz w:val="20"/>
                <w:szCs w:val="20"/>
              </w:rPr>
              <w:t>The date of the invoice.</w:t>
            </w:r>
          </w:p>
        </w:tc>
      </w:tr>
      <w:tr w:rsidR="00302D6E" w14:paraId="1057C3C3" w14:textId="77777777" w:rsidTr="009B7CE8">
        <w:trPr>
          <w:cantSplit/>
        </w:trPr>
        <w:tc>
          <w:tcPr>
            <w:tcW w:w="1952" w:type="dxa"/>
            <w:tcBorders>
              <w:top w:val="single" w:sz="4" w:space="0" w:color="auto"/>
              <w:left w:val="single" w:sz="4" w:space="0" w:color="auto"/>
              <w:bottom w:val="single" w:sz="4" w:space="0" w:color="auto"/>
              <w:right w:val="single" w:sz="4" w:space="0" w:color="auto"/>
            </w:tcBorders>
            <w:hideMark/>
          </w:tcPr>
          <w:p w14:paraId="4F65D323" w14:textId="77777777" w:rsidR="00302D6E" w:rsidRDefault="00302D6E" w:rsidP="009B7CE8">
            <w:pPr>
              <w:rPr>
                <w:rFonts w:ascii="Arial" w:hAnsi="Arial" w:cs="Arial"/>
                <w:sz w:val="20"/>
                <w:szCs w:val="20"/>
              </w:rPr>
            </w:pPr>
            <w:r>
              <w:rPr>
                <w:rFonts w:ascii="Arial" w:hAnsi="Arial" w:cs="Arial"/>
                <w:sz w:val="20"/>
                <w:szCs w:val="20"/>
              </w:rPr>
              <w:t>Received Date</w:t>
            </w:r>
          </w:p>
        </w:tc>
        <w:tc>
          <w:tcPr>
            <w:tcW w:w="6930" w:type="dxa"/>
            <w:tcBorders>
              <w:top w:val="single" w:sz="4" w:space="0" w:color="auto"/>
              <w:left w:val="single" w:sz="4" w:space="0" w:color="auto"/>
              <w:bottom w:val="single" w:sz="4" w:space="0" w:color="auto"/>
              <w:right w:val="single" w:sz="4" w:space="0" w:color="auto"/>
            </w:tcBorders>
            <w:hideMark/>
          </w:tcPr>
          <w:p w14:paraId="1061BB36" w14:textId="77777777" w:rsidR="00302D6E" w:rsidRDefault="00302D6E" w:rsidP="009B7CE8">
            <w:pPr>
              <w:rPr>
                <w:rFonts w:ascii="Arial" w:hAnsi="Arial" w:cs="Arial"/>
                <w:sz w:val="20"/>
                <w:szCs w:val="20"/>
              </w:rPr>
            </w:pPr>
            <w:r>
              <w:rPr>
                <w:rFonts w:ascii="Arial" w:hAnsi="Arial" w:cs="Arial"/>
                <w:sz w:val="20"/>
                <w:szCs w:val="20"/>
              </w:rPr>
              <w:t>The date the department received the invoice may be entered for accounting purposes</w:t>
            </w:r>
          </w:p>
        </w:tc>
      </w:tr>
      <w:tr w:rsidR="00302D6E" w14:paraId="5C830839" w14:textId="77777777" w:rsidTr="009B7CE8">
        <w:trPr>
          <w:cantSplit/>
        </w:trPr>
        <w:tc>
          <w:tcPr>
            <w:tcW w:w="1952" w:type="dxa"/>
            <w:tcBorders>
              <w:top w:val="single" w:sz="4" w:space="0" w:color="auto"/>
              <w:left w:val="single" w:sz="4" w:space="0" w:color="auto"/>
              <w:bottom w:val="single" w:sz="4" w:space="0" w:color="auto"/>
              <w:right w:val="single" w:sz="4" w:space="0" w:color="auto"/>
            </w:tcBorders>
            <w:hideMark/>
          </w:tcPr>
          <w:p w14:paraId="11FDCBB6" w14:textId="77777777" w:rsidR="00302D6E" w:rsidRDefault="00302D6E" w:rsidP="009B7CE8">
            <w:pPr>
              <w:rPr>
                <w:rFonts w:ascii="Arial" w:hAnsi="Arial" w:cs="Arial"/>
                <w:sz w:val="20"/>
                <w:szCs w:val="20"/>
              </w:rPr>
            </w:pPr>
            <w:r>
              <w:rPr>
                <w:rFonts w:ascii="Arial" w:hAnsi="Arial" w:cs="Arial"/>
                <w:sz w:val="20"/>
                <w:szCs w:val="20"/>
              </w:rPr>
              <w:t>Mode</w:t>
            </w:r>
          </w:p>
        </w:tc>
        <w:tc>
          <w:tcPr>
            <w:tcW w:w="6930" w:type="dxa"/>
            <w:tcBorders>
              <w:top w:val="single" w:sz="4" w:space="0" w:color="auto"/>
              <w:left w:val="single" w:sz="4" w:space="0" w:color="auto"/>
              <w:bottom w:val="single" w:sz="4" w:space="0" w:color="auto"/>
              <w:right w:val="single" w:sz="4" w:space="0" w:color="auto"/>
            </w:tcBorders>
            <w:hideMark/>
          </w:tcPr>
          <w:p w14:paraId="507CBD9D" w14:textId="77777777" w:rsidR="00302D6E" w:rsidRDefault="00302D6E" w:rsidP="009B7CE8">
            <w:pPr>
              <w:rPr>
                <w:rFonts w:ascii="Arial" w:hAnsi="Arial" w:cs="Arial"/>
                <w:sz w:val="20"/>
                <w:szCs w:val="20"/>
              </w:rPr>
            </w:pPr>
            <w:r>
              <w:rPr>
                <w:rFonts w:ascii="Arial" w:hAnsi="Arial" w:cs="Arial"/>
                <w:sz w:val="20"/>
                <w:szCs w:val="20"/>
              </w:rPr>
              <w:t>The status of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can be Batch to be printed/exported later,  Notate which writes the payment record to check history with a specified form number and processed date, or Hold which causes the data entered to be saved without creating a payment record so that it can be edited later.  Hold is often used with importing medical payment data so that the users can review and edit data before batching for payment.</w:t>
            </w:r>
          </w:p>
        </w:tc>
      </w:tr>
      <w:tr w:rsidR="00302D6E" w14:paraId="5F848883" w14:textId="77777777" w:rsidTr="009B7CE8">
        <w:trPr>
          <w:cantSplit/>
        </w:trPr>
        <w:tc>
          <w:tcPr>
            <w:tcW w:w="1952" w:type="dxa"/>
            <w:tcBorders>
              <w:top w:val="single" w:sz="4" w:space="0" w:color="auto"/>
              <w:left w:val="single" w:sz="4" w:space="0" w:color="auto"/>
              <w:bottom w:val="single" w:sz="4" w:space="0" w:color="auto"/>
              <w:right w:val="single" w:sz="4" w:space="0" w:color="auto"/>
            </w:tcBorders>
            <w:hideMark/>
          </w:tcPr>
          <w:p w14:paraId="29DF6AE5" w14:textId="77777777" w:rsidR="00302D6E" w:rsidRDefault="00302D6E" w:rsidP="009B7CE8">
            <w:pPr>
              <w:rPr>
                <w:rFonts w:ascii="Arial" w:hAnsi="Arial" w:cs="Arial"/>
                <w:sz w:val="20"/>
                <w:szCs w:val="20"/>
              </w:rPr>
            </w:pPr>
            <w:r>
              <w:rPr>
                <w:rFonts w:ascii="Arial" w:hAnsi="Arial" w:cs="Arial"/>
                <w:sz w:val="20"/>
                <w:szCs w:val="20"/>
              </w:rPr>
              <w:t>Image ID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Payment Code</w:instrText>
            </w:r>
            <w:r>
              <w:rPr>
                <w:rFonts w:cstheme="minorBidi"/>
              </w:rPr>
              <w:instrText xml:space="preserve">" </w:instrText>
            </w:r>
            <w:r>
              <w:rPr>
                <w:rFonts w:ascii="Arial" w:hAnsi="Arial" w:cs="Arial"/>
                <w:sz w:val="20"/>
                <w:szCs w:val="20"/>
              </w:rPr>
              <w:fldChar w:fldCharType="end"/>
            </w:r>
          </w:p>
        </w:tc>
        <w:tc>
          <w:tcPr>
            <w:tcW w:w="6930" w:type="dxa"/>
            <w:tcBorders>
              <w:top w:val="single" w:sz="4" w:space="0" w:color="auto"/>
              <w:left w:val="single" w:sz="4" w:space="0" w:color="auto"/>
              <w:bottom w:val="single" w:sz="4" w:space="0" w:color="auto"/>
              <w:right w:val="single" w:sz="4" w:space="0" w:color="auto"/>
            </w:tcBorders>
            <w:hideMark/>
          </w:tcPr>
          <w:p w14:paraId="7B149427" w14:textId="77777777" w:rsidR="00302D6E" w:rsidRDefault="00302D6E" w:rsidP="009B7CE8">
            <w:pPr>
              <w:rPr>
                <w:rFonts w:ascii="Arial" w:hAnsi="Arial" w:cs="Arial"/>
                <w:sz w:val="20"/>
                <w:szCs w:val="20"/>
              </w:rPr>
            </w:pPr>
            <w:r>
              <w:rPr>
                <w:rFonts w:ascii="Arial" w:hAnsi="Arial" w:cs="Arial"/>
                <w:sz w:val="20"/>
                <w:szCs w:val="20"/>
              </w:rPr>
              <w:t xml:space="preserve">Optionally links the payment to bill images in our electronic filing cabinet.  </w:t>
            </w:r>
          </w:p>
        </w:tc>
      </w:tr>
      <w:tr w:rsidR="00302D6E" w14:paraId="16C94FA8" w14:textId="77777777" w:rsidTr="009B7CE8">
        <w:trPr>
          <w:cantSplit/>
        </w:trPr>
        <w:tc>
          <w:tcPr>
            <w:tcW w:w="1952" w:type="dxa"/>
            <w:tcBorders>
              <w:top w:val="single" w:sz="4" w:space="0" w:color="auto"/>
              <w:left w:val="single" w:sz="4" w:space="0" w:color="auto"/>
              <w:bottom w:val="single" w:sz="4" w:space="0" w:color="auto"/>
              <w:right w:val="single" w:sz="4" w:space="0" w:color="auto"/>
            </w:tcBorders>
            <w:hideMark/>
          </w:tcPr>
          <w:p w14:paraId="7A75FC9A" w14:textId="77777777" w:rsidR="00302D6E" w:rsidRDefault="00302D6E" w:rsidP="009B7CE8">
            <w:pPr>
              <w:rPr>
                <w:rFonts w:ascii="Arial" w:hAnsi="Arial" w:cs="Arial"/>
                <w:sz w:val="20"/>
                <w:szCs w:val="20"/>
              </w:rPr>
            </w:pPr>
            <w:r>
              <w:rPr>
                <w:rFonts w:ascii="Arial" w:hAnsi="Arial" w:cs="Arial"/>
                <w:sz w:val="20"/>
                <w:szCs w:val="20"/>
              </w:rPr>
              <w:t>Note</w:t>
            </w:r>
          </w:p>
        </w:tc>
        <w:tc>
          <w:tcPr>
            <w:tcW w:w="6930" w:type="dxa"/>
            <w:tcBorders>
              <w:top w:val="single" w:sz="4" w:space="0" w:color="auto"/>
              <w:left w:val="single" w:sz="4" w:space="0" w:color="auto"/>
              <w:bottom w:val="single" w:sz="4" w:space="0" w:color="auto"/>
              <w:right w:val="single" w:sz="4" w:space="0" w:color="auto"/>
            </w:tcBorders>
            <w:hideMark/>
          </w:tcPr>
          <w:p w14:paraId="1B68992F" w14:textId="77777777" w:rsidR="00302D6E" w:rsidRDefault="00302D6E" w:rsidP="009B7CE8">
            <w:pPr>
              <w:rPr>
                <w:rFonts w:ascii="Arial" w:hAnsi="Arial" w:cs="Arial"/>
                <w:sz w:val="20"/>
                <w:szCs w:val="20"/>
              </w:rPr>
            </w:pPr>
            <w:r>
              <w:rPr>
                <w:rFonts w:ascii="Arial" w:hAnsi="Arial" w:cs="Arial"/>
                <w:sz w:val="20"/>
                <w:szCs w:val="20"/>
              </w:rPr>
              <w:t>A note to be displayed on the check or voucher.</w:t>
            </w:r>
          </w:p>
        </w:tc>
      </w:tr>
      <w:tr w:rsidR="00302D6E" w14:paraId="5F18BACF" w14:textId="77777777" w:rsidTr="009B7CE8">
        <w:trPr>
          <w:cantSplit/>
        </w:trPr>
        <w:tc>
          <w:tcPr>
            <w:tcW w:w="1952" w:type="dxa"/>
            <w:tcBorders>
              <w:top w:val="single" w:sz="4" w:space="0" w:color="auto"/>
              <w:left w:val="single" w:sz="4" w:space="0" w:color="auto"/>
              <w:bottom w:val="single" w:sz="4" w:space="0" w:color="auto"/>
              <w:right w:val="single" w:sz="4" w:space="0" w:color="auto"/>
            </w:tcBorders>
            <w:hideMark/>
          </w:tcPr>
          <w:p w14:paraId="4401A09F" w14:textId="77777777" w:rsidR="00302D6E" w:rsidRDefault="00302D6E" w:rsidP="009B7CE8">
            <w:pPr>
              <w:rPr>
                <w:rFonts w:ascii="Arial" w:hAnsi="Arial" w:cs="Arial"/>
                <w:sz w:val="20"/>
                <w:szCs w:val="20"/>
              </w:rPr>
            </w:pPr>
            <w:r>
              <w:rPr>
                <w:rFonts w:ascii="Arial" w:hAnsi="Arial" w:cs="Arial"/>
                <w:sz w:val="20"/>
                <w:szCs w:val="20"/>
              </w:rPr>
              <w:t>Payee ID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Vendor Code</w:instrText>
            </w:r>
            <w:r>
              <w:rPr>
                <w:rFonts w:cstheme="minorBidi"/>
              </w:rPr>
              <w:instrText xml:space="preserve">" </w:instrText>
            </w:r>
            <w:r>
              <w:rPr>
                <w:rFonts w:ascii="Arial" w:hAnsi="Arial" w:cs="Arial"/>
                <w:sz w:val="20"/>
                <w:szCs w:val="20"/>
              </w:rPr>
              <w:fldChar w:fldCharType="end"/>
            </w:r>
          </w:p>
        </w:tc>
        <w:tc>
          <w:tcPr>
            <w:tcW w:w="6930" w:type="dxa"/>
            <w:tcBorders>
              <w:top w:val="single" w:sz="4" w:space="0" w:color="auto"/>
              <w:left w:val="single" w:sz="4" w:space="0" w:color="auto"/>
              <w:bottom w:val="single" w:sz="4" w:space="0" w:color="auto"/>
              <w:right w:val="single" w:sz="4" w:space="0" w:color="auto"/>
            </w:tcBorders>
            <w:hideMark/>
          </w:tcPr>
          <w:p w14:paraId="0D7BBD45" w14:textId="77777777" w:rsidR="00302D6E" w:rsidRDefault="00302D6E" w:rsidP="009B7CE8">
            <w:pPr>
              <w:rPr>
                <w:rFonts w:ascii="Arial" w:hAnsi="Arial" w:cs="Arial"/>
                <w:sz w:val="20"/>
                <w:szCs w:val="20"/>
              </w:rPr>
            </w:pPr>
            <w:r>
              <w:rPr>
                <w:rFonts w:ascii="Arial" w:hAnsi="Arial" w:cs="Arial"/>
                <w:sz w:val="20"/>
                <w:szCs w:val="20"/>
              </w:rPr>
              <w:t>The ID of the vendor, claimant, or dependent being paid</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w:t>
            </w:r>
          </w:p>
        </w:tc>
      </w:tr>
      <w:tr w:rsidR="00302D6E" w14:paraId="3D68B8FC" w14:textId="77777777" w:rsidTr="009B7CE8">
        <w:trPr>
          <w:cantSplit/>
        </w:trPr>
        <w:tc>
          <w:tcPr>
            <w:tcW w:w="1952" w:type="dxa"/>
            <w:tcBorders>
              <w:top w:val="single" w:sz="4" w:space="0" w:color="auto"/>
              <w:left w:val="single" w:sz="4" w:space="0" w:color="auto"/>
              <w:bottom w:val="single" w:sz="4" w:space="0" w:color="auto"/>
              <w:right w:val="single" w:sz="4" w:space="0" w:color="auto"/>
            </w:tcBorders>
          </w:tcPr>
          <w:p w14:paraId="52C3809F" w14:textId="77777777" w:rsidR="00302D6E" w:rsidRDefault="00302D6E" w:rsidP="009B7CE8">
            <w:pPr>
              <w:rPr>
                <w:rFonts w:ascii="Arial" w:hAnsi="Arial" w:cs="Arial"/>
                <w:sz w:val="20"/>
                <w:szCs w:val="20"/>
              </w:rPr>
            </w:pPr>
            <w:r>
              <w:rPr>
                <w:rFonts w:ascii="Arial" w:hAnsi="Arial" w:cs="Arial"/>
                <w:sz w:val="20"/>
                <w:szCs w:val="20"/>
              </w:rPr>
              <w:t>Separate Handling</w:t>
            </w:r>
          </w:p>
        </w:tc>
        <w:tc>
          <w:tcPr>
            <w:tcW w:w="6930" w:type="dxa"/>
            <w:tcBorders>
              <w:top w:val="single" w:sz="4" w:space="0" w:color="auto"/>
              <w:left w:val="single" w:sz="4" w:space="0" w:color="auto"/>
              <w:bottom w:val="single" w:sz="4" w:space="0" w:color="auto"/>
              <w:right w:val="single" w:sz="4" w:space="0" w:color="auto"/>
            </w:tcBorders>
          </w:tcPr>
          <w:p w14:paraId="312A4368" w14:textId="77777777" w:rsidR="00302D6E" w:rsidRDefault="00302D6E" w:rsidP="009B7CE8">
            <w:pPr>
              <w:rPr>
                <w:rFonts w:ascii="Arial" w:hAnsi="Arial" w:cs="Arial"/>
                <w:sz w:val="20"/>
                <w:szCs w:val="20"/>
              </w:rPr>
            </w:pPr>
            <w:r>
              <w:rPr>
                <w:rFonts w:ascii="Arial" w:hAnsi="Arial" w:cs="Arial"/>
                <w:sz w:val="20"/>
                <w:szCs w:val="20"/>
              </w:rPr>
              <w:t>If checked, the payment will not be combined on the same printed check for payments made to the same vendor.</w:t>
            </w:r>
          </w:p>
        </w:tc>
      </w:tr>
      <w:tr w:rsidR="00302D6E" w14:paraId="35314FE1" w14:textId="77777777" w:rsidTr="009B7CE8">
        <w:trPr>
          <w:cantSplit/>
        </w:trPr>
        <w:tc>
          <w:tcPr>
            <w:tcW w:w="1952" w:type="dxa"/>
            <w:tcBorders>
              <w:top w:val="single" w:sz="4" w:space="0" w:color="auto"/>
              <w:left w:val="single" w:sz="4" w:space="0" w:color="auto"/>
              <w:bottom w:val="single" w:sz="4" w:space="0" w:color="auto"/>
              <w:right w:val="single" w:sz="4" w:space="0" w:color="auto"/>
            </w:tcBorders>
          </w:tcPr>
          <w:p w14:paraId="758D6AF8" w14:textId="77777777" w:rsidR="00302D6E" w:rsidRDefault="00302D6E" w:rsidP="009B7CE8">
            <w:pPr>
              <w:rPr>
                <w:rFonts w:ascii="Arial" w:hAnsi="Arial" w:cs="Arial"/>
                <w:sz w:val="20"/>
                <w:szCs w:val="20"/>
              </w:rPr>
            </w:pPr>
            <w:r>
              <w:rPr>
                <w:rFonts w:ascii="Arial" w:hAnsi="Arial" w:cs="Arial"/>
                <w:sz w:val="20"/>
                <w:szCs w:val="20"/>
              </w:rPr>
              <w:t>ICD Codes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ICD-9</w:instrText>
            </w:r>
            <w:r>
              <w:rPr>
                <w:rFonts w:cstheme="minorBidi"/>
              </w:rPr>
              <w:instrText xml:space="preserve">" </w:instrText>
            </w:r>
            <w:r>
              <w:rPr>
                <w:rFonts w:ascii="Arial" w:hAnsi="Arial" w:cs="Arial"/>
                <w:sz w:val="20"/>
                <w:szCs w:val="20"/>
              </w:rPr>
              <w:fldChar w:fldCharType="end"/>
            </w:r>
          </w:p>
        </w:tc>
        <w:tc>
          <w:tcPr>
            <w:tcW w:w="6930" w:type="dxa"/>
            <w:tcBorders>
              <w:top w:val="single" w:sz="4" w:space="0" w:color="auto"/>
              <w:left w:val="single" w:sz="4" w:space="0" w:color="auto"/>
              <w:bottom w:val="single" w:sz="4" w:space="0" w:color="auto"/>
              <w:right w:val="single" w:sz="4" w:space="0" w:color="auto"/>
            </w:tcBorders>
          </w:tcPr>
          <w:p w14:paraId="4D4D9A9D" w14:textId="77777777" w:rsidR="00302D6E" w:rsidRDefault="00302D6E" w:rsidP="009B7CE8">
            <w:pPr>
              <w:rPr>
                <w:rFonts w:ascii="Arial" w:hAnsi="Arial" w:cs="Arial"/>
                <w:sz w:val="20"/>
                <w:szCs w:val="20"/>
              </w:rPr>
            </w:pPr>
            <w:r>
              <w:rPr>
                <w:rFonts w:ascii="Arial" w:hAnsi="Arial" w:cs="Arial"/>
                <w:sz w:val="20"/>
                <w:szCs w:val="20"/>
              </w:rPr>
              <w:t>The ICD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ICD-9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code(s) from the invoice A-L.</w:t>
            </w:r>
          </w:p>
        </w:tc>
      </w:tr>
    </w:tbl>
    <w:p w14:paraId="3FD23238" w14:textId="77777777" w:rsidR="00302D6E" w:rsidRDefault="00302D6E" w:rsidP="00302D6E">
      <w:pPr>
        <w:spacing w:before="240" w:after="200"/>
        <w:ind w:left="360"/>
      </w:pPr>
    </w:p>
    <w:tbl>
      <w:tblPr>
        <w:tblStyle w:val="TableGrid"/>
        <w:tblW w:w="0" w:type="auto"/>
        <w:tblInd w:w="468" w:type="dxa"/>
        <w:tblLook w:val="04A0" w:firstRow="1" w:lastRow="0" w:firstColumn="1" w:lastColumn="0" w:noHBand="0" w:noVBand="1"/>
      </w:tblPr>
      <w:tblGrid>
        <w:gridCol w:w="1961"/>
        <w:gridCol w:w="6921"/>
      </w:tblGrid>
      <w:tr w:rsidR="00302D6E" w14:paraId="28CF70D1" w14:textId="77777777" w:rsidTr="009B7CE8">
        <w:trPr>
          <w:tblHeader/>
        </w:trPr>
        <w:tc>
          <w:tcPr>
            <w:tcW w:w="1961" w:type="dxa"/>
            <w:tcBorders>
              <w:top w:val="single" w:sz="4" w:space="0" w:color="auto"/>
              <w:left w:val="single" w:sz="4" w:space="0" w:color="auto"/>
              <w:bottom w:val="single" w:sz="4" w:space="0" w:color="auto"/>
              <w:right w:val="single" w:sz="4" w:space="0" w:color="auto"/>
            </w:tcBorders>
            <w:shd w:val="clear" w:color="auto" w:fill="0F4761" w:themeFill="accent1" w:themeFillShade="BF"/>
            <w:hideMark/>
          </w:tcPr>
          <w:p w14:paraId="7DDD731E" w14:textId="77777777" w:rsidR="00302D6E" w:rsidRDefault="00302D6E" w:rsidP="009B7CE8">
            <w:pPr>
              <w:spacing w:before="120" w:after="120"/>
              <w:rPr>
                <w:rFonts w:cstheme="minorBidi"/>
                <w:b/>
                <w:color w:val="FFFFFF" w:themeColor="background1"/>
              </w:rPr>
            </w:pPr>
            <w:r>
              <w:rPr>
                <w:rFonts w:cstheme="minorBidi"/>
                <w:b/>
                <w:color w:val="FFFFFF" w:themeColor="background1"/>
              </w:rPr>
              <w:t>Field Name</w:t>
            </w:r>
          </w:p>
        </w:tc>
        <w:tc>
          <w:tcPr>
            <w:tcW w:w="6921" w:type="dxa"/>
            <w:tcBorders>
              <w:top w:val="single" w:sz="4" w:space="0" w:color="auto"/>
              <w:left w:val="single" w:sz="4" w:space="0" w:color="auto"/>
              <w:bottom w:val="single" w:sz="4" w:space="0" w:color="auto"/>
              <w:right w:val="single" w:sz="4" w:space="0" w:color="auto"/>
            </w:tcBorders>
            <w:shd w:val="clear" w:color="auto" w:fill="0F4761" w:themeFill="accent1" w:themeFillShade="BF"/>
            <w:hideMark/>
          </w:tcPr>
          <w:p w14:paraId="339651DE" w14:textId="77777777" w:rsidR="00302D6E" w:rsidRDefault="00302D6E" w:rsidP="009B7CE8">
            <w:pPr>
              <w:spacing w:before="120" w:after="120"/>
              <w:rPr>
                <w:rFonts w:cstheme="minorBidi"/>
                <w:b/>
                <w:color w:val="FFFFFF" w:themeColor="background1"/>
              </w:rPr>
            </w:pPr>
            <w:r>
              <w:rPr>
                <w:rFonts w:cstheme="minorBidi"/>
                <w:b/>
                <w:color w:val="FFFFFF" w:themeColor="background1"/>
              </w:rPr>
              <w:t>Description</w:t>
            </w:r>
          </w:p>
        </w:tc>
      </w:tr>
      <w:tr w:rsidR="00302D6E" w14:paraId="051C14DC" w14:textId="77777777" w:rsidTr="009B7CE8">
        <w:trPr>
          <w:cantSplit/>
        </w:trPr>
        <w:tc>
          <w:tcPr>
            <w:tcW w:w="1961" w:type="dxa"/>
            <w:tcBorders>
              <w:top w:val="single" w:sz="4" w:space="0" w:color="auto"/>
              <w:left w:val="single" w:sz="4" w:space="0" w:color="auto"/>
              <w:bottom w:val="single" w:sz="4" w:space="0" w:color="auto"/>
              <w:right w:val="single" w:sz="4" w:space="0" w:color="auto"/>
            </w:tcBorders>
          </w:tcPr>
          <w:p w14:paraId="3927BA1F" w14:textId="77777777" w:rsidR="00302D6E" w:rsidRDefault="00302D6E" w:rsidP="009B7CE8">
            <w:pPr>
              <w:rPr>
                <w:rFonts w:ascii="Arial" w:hAnsi="Arial" w:cs="Arial"/>
                <w:sz w:val="20"/>
                <w:szCs w:val="20"/>
              </w:rPr>
            </w:pPr>
          </w:p>
        </w:tc>
        <w:tc>
          <w:tcPr>
            <w:tcW w:w="6921" w:type="dxa"/>
            <w:tcBorders>
              <w:top w:val="single" w:sz="4" w:space="0" w:color="auto"/>
              <w:left w:val="single" w:sz="4" w:space="0" w:color="auto"/>
              <w:bottom w:val="single" w:sz="4" w:space="0" w:color="auto"/>
              <w:right w:val="single" w:sz="4" w:space="0" w:color="auto"/>
            </w:tcBorders>
          </w:tcPr>
          <w:p w14:paraId="441C19F1" w14:textId="77777777" w:rsidR="00302D6E" w:rsidRDefault="00302D6E" w:rsidP="009B7CE8">
            <w:pPr>
              <w:rPr>
                <w:rFonts w:ascii="Arial" w:hAnsi="Arial" w:cs="Arial"/>
                <w:sz w:val="20"/>
                <w:szCs w:val="20"/>
              </w:rPr>
            </w:pPr>
          </w:p>
        </w:tc>
      </w:tr>
      <w:tr w:rsidR="00302D6E" w14:paraId="34830078" w14:textId="77777777" w:rsidTr="009B7CE8">
        <w:trPr>
          <w:cantSplit/>
        </w:trPr>
        <w:tc>
          <w:tcPr>
            <w:tcW w:w="1961" w:type="dxa"/>
            <w:tcBorders>
              <w:top w:val="single" w:sz="4" w:space="0" w:color="auto"/>
              <w:left w:val="single" w:sz="4" w:space="0" w:color="auto"/>
              <w:bottom w:val="single" w:sz="4" w:space="0" w:color="auto"/>
              <w:right w:val="single" w:sz="4" w:space="0" w:color="auto"/>
            </w:tcBorders>
            <w:hideMark/>
          </w:tcPr>
          <w:p w14:paraId="2158FB63" w14:textId="77777777" w:rsidR="00302D6E" w:rsidRDefault="00302D6E" w:rsidP="009B7CE8">
            <w:pPr>
              <w:rPr>
                <w:rFonts w:ascii="Arial" w:hAnsi="Arial" w:cs="Arial"/>
                <w:sz w:val="20"/>
                <w:szCs w:val="20"/>
              </w:rPr>
            </w:pPr>
            <w:r>
              <w:rPr>
                <w:rFonts w:ascii="Arial" w:hAnsi="Arial" w:cs="Arial"/>
                <w:sz w:val="20"/>
                <w:szCs w:val="20"/>
              </w:rPr>
              <w:t>Service Zip</w:t>
            </w:r>
          </w:p>
        </w:tc>
        <w:tc>
          <w:tcPr>
            <w:tcW w:w="6921" w:type="dxa"/>
            <w:tcBorders>
              <w:top w:val="single" w:sz="4" w:space="0" w:color="auto"/>
              <w:left w:val="single" w:sz="4" w:space="0" w:color="auto"/>
              <w:bottom w:val="single" w:sz="4" w:space="0" w:color="auto"/>
              <w:right w:val="single" w:sz="4" w:space="0" w:color="auto"/>
            </w:tcBorders>
            <w:hideMark/>
          </w:tcPr>
          <w:p w14:paraId="6DB0D908" w14:textId="77777777" w:rsidR="00302D6E" w:rsidRDefault="00302D6E" w:rsidP="009B7CE8">
            <w:pPr>
              <w:rPr>
                <w:rFonts w:ascii="Arial" w:hAnsi="Arial" w:cs="Arial"/>
                <w:sz w:val="20"/>
                <w:szCs w:val="20"/>
              </w:rPr>
            </w:pPr>
            <w:r>
              <w:rPr>
                <w:rFonts w:ascii="Arial" w:hAnsi="Arial" w:cs="Arial"/>
                <w:sz w:val="20"/>
                <w:szCs w:val="20"/>
              </w:rPr>
              <w:t>By default,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’s zip will be used to set the service zip code for where the service was performed. This zip code will not only determine which fee schedule is used, but also the tax rate if tax is to be applied as in New Mexico.</w:t>
            </w:r>
          </w:p>
        </w:tc>
      </w:tr>
      <w:tr w:rsidR="00302D6E" w14:paraId="5804B95B" w14:textId="77777777" w:rsidTr="009B7CE8">
        <w:trPr>
          <w:cantSplit/>
        </w:trPr>
        <w:tc>
          <w:tcPr>
            <w:tcW w:w="1961" w:type="dxa"/>
            <w:tcBorders>
              <w:top w:val="single" w:sz="4" w:space="0" w:color="auto"/>
              <w:left w:val="single" w:sz="4" w:space="0" w:color="auto"/>
              <w:bottom w:val="single" w:sz="4" w:space="0" w:color="auto"/>
              <w:right w:val="single" w:sz="4" w:space="0" w:color="auto"/>
            </w:tcBorders>
            <w:hideMark/>
          </w:tcPr>
          <w:p w14:paraId="20B5B91D" w14:textId="77777777" w:rsidR="00302D6E" w:rsidRDefault="00302D6E" w:rsidP="009B7CE8">
            <w:pPr>
              <w:rPr>
                <w:rFonts w:ascii="Arial" w:hAnsi="Arial" w:cs="Arial"/>
                <w:sz w:val="20"/>
                <w:szCs w:val="20"/>
              </w:rPr>
            </w:pPr>
            <w:r>
              <w:rPr>
                <w:rFonts w:ascii="Arial" w:hAnsi="Arial" w:cs="Arial"/>
                <w:sz w:val="20"/>
                <w:szCs w:val="20"/>
              </w:rPr>
              <w:t>Inpatient</w:t>
            </w:r>
          </w:p>
        </w:tc>
        <w:tc>
          <w:tcPr>
            <w:tcW w:w="6921" w:type="dxa"/>
            <w:tcBorders>
              <w:top w:val="single" w:sz="4" w:space="0" w:color="auto"/>
              <w:left w:val="single" w:sz="4" w:space="0" w:color="auto"/>
              <w:bottom w:val="single" w:sz="4" w:space="0" w:color="auto"/>
              <w:right w:val="single" w:sz="4" w:space="0" w:color="auto"/>
            </w:tcBorders>
            <w:hideMark/>
          </w:tcPr>
          <w:p w14:paraId="768B45E1" w14:textId="77777777" w:rsidR="00302D6E" w:rsidRDefault="00302D6E" w:rsidP="009B7CE8">
            <w:pPr>
              <w:rPr>
                <w:rFonts w:ascii="Arial" w:hAnsi="Arial" w:cs="Arial"/>
                <w:sz w:val="20"/>
                <w:szCs w:val="20"/>
              </w:rPr>
            </w:pPr>
            <w:r>
              <w:rPr>
                <w:rFonts w:ascii="Arial" w:hAnsi="Arial" w:cs="Arial"/>
                <w:sz w:val="20"/>
                <w:szCs w:val="20"/>
              </w:rPr>
              <w:t xml:space="preserve">A check indicates that the employee has been admitted </w:t>
            </w:r>
            <w:proofErr w:type="gramStart"/>
            <w:r>
              <w:rPr>
                <w:rFonts w:ascii="Arial" w:hAnsi="Arial" w:cs="Arial"/>
                <w:sz w:val="20"/>
                <w:szCs w:val="20"/>
              </w:rPr>
              <w:t>in</w:t>
            </w:r>
            <w:proofErr w:type="gramEnd"/>
            <w:r>
              <w:rPr>
                <w:rFonts w:ascii="Arial" w:hAnsi="Arial" w:cs="Arial"/>
                <w:sz w:val="20"/>
                <w:szCs w:val="20"/>
              </w:rPr>
              <w:t xml:space="preserve"> a facility and treated as an inpatient.</w:t>
            </w:r>
          </w:p>
        </w:tc>
      </w:tr>
      <w:tr w:rsidR="00302D6E" w14:paraId="7629B005" w14:textId="77777777" w:rsidTr="009B7CE8">
        <w:trPr>
          <w:cantSplit/>
        </w:trPr>
        <w:tc>
          <w:tcPr>
            <w:tcW w:w="1961" w:type="dxa"/>
            <w:tcBorders>
              <w:top w:val="single" w:sz="4" w:space="0" w:color="auto"/>
              <w:left w:val="single" w:sz="4" w:space="0" w:color="auto"/>
              <w:bottom w:val="single" w:sz="4" w:space="0" w:color="auto"/>
              <w:right w:val="single" w:sz="4" w:space="0" w:color="auto"/>
            </w:tcBorders>
            <w:hideMark/>
          </w:tcPr>
          <w:p w14:paraId="4847B232" w14:textId="77777777" w:rsidR="00302D6E" w:rsidRDefault="00302D6E" w:rsidP="009B7CE8">
            <w:pPr>
              <w:rPr>
                <w:rFonts w:ascii="Arial" w:hAnsi="Arial" w:cs="Arial"/>
                <w:sz w:val="20"/>
                <w:szCs w:val="20"/>
              </w:rPr>
            </w:pPr>
            <w:r>
              <w:rPr>
                <w:rFonts w:ascii="Arial" w:hAnsi="Arial" w:cs="Arial"/>
                <w:sz w:val="20"/>
                <w:szCs w:val="20"/>
              </w:rPr>
              <w:t>Line Item</w:t>
            </w:r>
          </w:p>
        </w:tc>
        <w:tc>
          <w:tcPr>
            <w:tcW w:w="6921" w:type="dxa"/>
            <w:tcBorders>
              <w:top w:val="single" w:sz="4" w:space="0" w:color="auto"/>
              <w:left w:val="single" w:sz="4" w:space="0" w:color="auto"/>
              <w:bottom w:val="single" w:sz="4" w:space="0" w:color="auto"/>
              <w:right w:val="single" w:sz="4" w:space="0" w:color="auto"/>
            </w:tcBorders>
            <w:hideMark/>
          </w:tcPr>
          <w:p w14:paraId="018C15B7" w14:textId="77777777" w:rsidR="00302D6E" w:rsidRDefault="00302D6E" w:rsidP="009B7CE8">
            <w:pPr>
              <w:rPr>
                <w:rFonts w:ascii="Arial" w:hAnsi="Arial" w:cs="Arial"/>
                <w:sz w:val="20"/>
                <w:szCs w:val="20"/>
              </w:rPr>
            </w:pPr>
            <w:r>
              <w:rPr>
                <w:rFonts w:ascii="Arial" w:hAnsi="Arial" w:cs="Arial"/>
                <w:sz w:val="20"/>
                <w:szCs w:val="20"/>
              </w:rPr>
              <w:t>The number of the line item. Use the arrow keys to enter another item or review a previous one listed in the grid below.</w:t>
            </w:r>
          </w:p>
        </w:tc>
      </w:tr>
      <w:tr w:rsidR="00302D6E" w14:paraId="728AFB7C" w14:textId="77777777" w:rsidTr="009B7CE8">
        <w:trPr>
          <w:cantSplit/>
        </w:trPr>
        <w:tc>
          <w:tcPr>
            <w:tcW w:w="1961" w:type="dxa"/>
            <w:tcBorders>
              <w:top w:val="single" w:sz="4" w:space="0" w:color="auto"/>
              <w:left w:val="single" w:sz="4" w:space="0" w:color="auto"/>
              <w:bottom w:val="single" w:sz="4" w:space="0" w:color="auto"/>
              <w:right w:val="single" w:sz="4" w:space="0" w:color="auto"/>
            </w:tcBorders>
            <w:hideMark/>
          </w:tcPr>
          <w:p w14:paraId="3852A5E8" w14:textId="77777777" w:rsidR="00302D6E" w:rsidRDefault="00302D6E" w:rsidP="009B7CE8">
            <w:pPr>
              <w:rPr>
                <w:rFonts w:ascii="Arial" w:hAnsi="Arial" w:cs="Arial"/>
                <w:sz w:val="20"/>
                <w:szCs w:val="20"/>
              </w:rPr>
            </w:pPr>
            <w:r>
              <w:rPr>
                <w:rFonts w:ascii="Arial" w:hAnsi="Arial" w:cs="Arial"/>
                <w:sz w:val="20"/>
                <w:szCs w:val="20"/>
              </w:rPr>
              <w:t>Service From/Thru</w:t>
            </w:r>
          </w:p>
        </w:tc>
        <w:tc>
          <w:tcPr>
            <w:tcW w:w="6921" w:type="dxa"/>
            <w:tcBorders>
              <w:top w:val="single" w:sz="4" w:space="0" w:color="auto"/>
              <w:left w:val="single" w:sz="4" w:space="0" w:color="auto"/>
              <w:bottom w:val="single" w:sz="4" w:space="0" w:color="auto"/>
              <w:right w:val="single" w:sz="4" w:space="0" w:color="auto"/>
            </w:tcBorders>
            <w:hideMark/>
          </w:tcPr>
          <w:p w14:paraId="55B37E7C" w14:textId="77777777" w:rsidR="00302D6E" w:rsidRDefault="00302D6E" w:rsidP="009B7CE8">
            <w:pPr>
              <w:spacing w:after="240"/>
              <w:rPr>
                <w:rFonts w:ascii="Arial" w:hAnsi="Arial" w:cs="Arial"/>
                <w:sz w:val="20"/>
                <w:szCs w:val="20"/>
              </w:rPr>
            </w:pPr>
            <w:r>
              <w:rPr>
                <w:rFonts w:ascii="Arial" w:hAnsi="Arial" w:cs="Arial"/>
                <w:sz w:val="20"/>
                <w:szCs w:val="20"/>
              </w:rPr>
              <w:t xml:space="preserve">The starting and ending date of the billing period. (The default ending date is the same as the From Date.) These dates will determine which </w:t>
            </w:r>
            <w:proofErr w:type="gramStart"/>
            <w:r>
              <w:rPr>
                <w:rFonts w:ascii="Arial" w:hAnsi="Arial" w:cs="Arial"/>
                <w:sz w:val="20"/>
                <w:szCs w:val="20"/>
              </w:rPr>
              <w:t>particular fee</w:t>
            </w:r>
            <w:proofErr w:type="gramEnd"/>
            <w:r>
              <w:rPr>
                <w:rFonts w:ascii="Arial" w:hAnsi="Arial" w:cs="Arial"/>
                <w:sz w:val="20"/>
                <w:szCs w:val="20"/>
              </w:rPr>
              <w:t xml:space="preserve"> schedule to use. (It must be after the open date on the claim.)</w:t>
            </w:r>
          </w:p>
          <w:p w14:paraId="620846A4" w14:textId="77777777" w:rsidR="00302D6E" w:rsidRDefault="00302D6E" w:rsidP="009B7CE8">
            <w:pPr>
              <w:rPr>
                <w:rFonts w:ascii="Arial" w:hAnsi="Arial" w:cs="Arial"/>
                <w:sz w:val="20"/>
                <w:szCs w:val="20"/>
              </w:rPr>
            </w:pPr>
            <w:r>
              <w:rPr>
                <w:rFonts w:ascii="Arial" w:hAnsi="Arial" w:cs="Arial"/>
                <w:sz w:val="20"/>
                <w:szCs w:val="20"/>
              </w:rPr>
              <w:t xml:space="preserve">For your convenience, the previous </w:t>
            </w:r>
            <w:proofErr w:type="gramStart"/>
            <w:r>
              <w:rPr>
                <w:rFonts w:ascii="Arial" w:hAnsi="Arial" w:cs="Arial"/>
                <w:sz w:val="20"/>
                <w:szCs w:val="20"/>
              </w:rPr>
              <w:t>From</w:t>
            </w:r>
            <w:proofErr w:type="gramEnd"/>
            <w:r>
              <w:rPr>
                <w:rFonts w:ascii="Arial" w:hAnsi="Arial" w:cs="Arial"/>
                <w:sz w:val="20"/>
                <w:szCs w:val="20"/>
              </w:rPr>
              <w:t>/Thru dates will be displayed as you enter new line items.</w:t>
            </w:r>
          </w:p>
        </w:tc>
      </w:tr>
      <w:tr w:rsidR="00302D6E" w14:paraId="6F1BF336" w14:textId="77777777" w:rsidTr="00AC5789">
        <w:trPr>
          <w:cantSplit/>
        </w:trPr>
        <w:tc>
          <w:tcPr>
            <w:tcW w:w="1961" w:type="dxa"/>
            <w:tcBorders>
              <w:top w:val="single" w:sz="4" w:space="0" w:color="auto"/>
              <w:left w:val="single" w:sz="4" w:space="0" w:color="auto"/>
              <w:bottom w:val="single" w:sz="4" w:space="0" w:color="auto"/>
              <w:right w:val="single" w:sz="4" w:space="0" w:color="auto"/>
            </w:tcBorders>
          </w:tcPr>
          <w:p w14:paraId="58DEB231" w14:textId="1A36EAC6" w:rsidR="00302D6E" w:rsidRDefault="00AC5789" w:rsidP="009B7CE8">
            <w:pPr>
              <w:rPr>
                <w:rFonts w:ascii="Arial" w:hAnsi="Arial" w:cs="Arial"/>
                <w:sz w:val="20"/>
                <w:szCs w:val="20"/>
              </w:rPr>
            </w:pPr>
            <w:r>
              <w:rPr>
                <w:rFonts w:ascii="Arial" w:hAnsi="Arial" w:cs="Arial"/>
                <w:sz w:val="20"/>
                <w:szCs w:val="20"/>
              </w:rPr>
              <w:t>ICD Reference</w:t>
            </w:r>
          </w:p>
        </w:tc>
        <w:tc>
          <w:tcPr>
            <w:tcW w:w="6921" w:type="dxa"/>
            <w:tcBorders>
              <w:top w:val="single" w:sz="4" w:space="0" w:color="auto"/>
              <w:left w:val="single" w:sz="4" w:space="0" w:color="auto"/>
              <w:bottom w:val="single" w:sz="4" w:space="0" w:color="auto"/>
              <w:right w:val="single" w:sz="4" w:space="0" w:color="auto"/>
            </w:tcBorders>
            <w:hideMark/>
          </w:tcPr>
          <w:p w14:paraId="7266DC3D" w14:textId="77777777" w:rsidR="00302D6E" w:rsidRDefault="00302D6E" w:rsidP="009B7CE8">
            <w:pPr>
              <w:rPr>
                <w:rFonts w:ascii="Arial" w:hAnsi="Arial" w:cs="Arial"/>
                <w:sz w:val="20"/>
                <w:szCs w:val="20"/>
              </w:rPr>
            </w:pPr>
            <w:r>
              <w:rPr>
                <w:rFonts w:ascii="Arial" w:hAnsi="Arial" w:cs="Arial"/>
                <w:sz w:val="20"/>
                <w:szCs w:val="20"/>
              </w:rPr>
              <w:t>Letters A-L to specify which ICD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ICD-9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codes </w:t>
            </w:r>
            <w:proofErr w:type="gramStart"/>
            <w:r>
              <w:rPr>
                <w:rFonts w:ascii="Arial" w:hAnsi="Arial" w:cs="Arial"/>
                <w:sz w:val="20"/>
                <w:szCs w:val="20"/>
              </w:rPr>
              <w:t>applies</w:t>
            </w:r>
            <w:proofErr w:type="gramEnd"/>
            <w:r>
              <w:rPr>
                <w:rFonts w:ascii="Arial" w:hAnsi="Arial" w:cs="Arial"/>
                <w:sz w:val="20"/>
                <w:szCs w:val="20"/>
              </w:rPr>
              <w:t xml:space="preserve"> to the specified CPT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CPT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 for the line item.  </w:t>
            </w:r>
          </w:p>
        </w:tc>
      </w:tr>
      <w:tr w:rsidR="00302D6E" w14:paraId="20C30A32" w14:textId="77777777" w:rsidTr="009B7CE8">
        <w:trPr>
          <w:cantSplit/>
        </w:trPr>
        <w:tc>
          <w:tcPr>
            <w:tcW w:w="1961" w:type="dxa"/>
            <w:tcBorders>
              <w:top w:val="single" w:sz="4" w:space="0" w:color="auto"/>
              <w:left w:val="single" w:sz="4" w:space="0" w:color="auto"/>
              <w:bottom w:val="single" w:sz="4" w:space="0" w:color="auto"/>
              <w:right w:val="single" w:sz="4" w:space="0" w:color="auto"/>
            </w:tcBorders>
            <w:hideMark/>
          </w:tcPr>
          <w:p w14:paraId="1E4E63EB" w14:textId="77777777" w:rsidR="00302D6E" w:rsidRDefault="00302D6E" w:rsidP="009B7CE8">
            <w:pPr>
              <w:rPr>
                <w:rFonts w:ascii="Arial" w:hAnsi="Arial" w:cs="Arial"/>
                <w:sz w:val="20"/>
                <w:szCs w:val="20"/>
              </w:rPr>
            </w:pPr>
            <w:r>
              <w:rPr>
                <w:rFonts w:ascii="Arial" w:hAnsi="Arial" w:cs="Arial"/>
                <w:sz w:val="20"/>
                <w:szCs w:val="20"/>
              </w:rPr>
              <w:t>Code Invoiced</w:t>
            </w:r>
          </w:p>
        </w:tc>
        <w:tc>
          <w:tcPr>
            <w:tcW w:w="6921" w:type="dxa"/>
            <w:tcBorders>
              <w:top w:val="single" w:sz="4" w:space="0" w:color="auto"/>
              <w:left w:val="single" w:sz="4" w:space="0" w:color="auto"/>
              <w:bottom w:val="single" w:sz="4" w:space="0" w:color="auto"/>
              <w:right w:val="single" w:sz="4" w:space="0" w:color="auto"/>
            </w:tcBorders>
            <w:hideMark/>
          </w:tcPr>
          <w:p w14:paraId="405BE73E" w14:textId="77777777" w:rsidR="00302D6E" w:rsidRDefault="00302D6E" w:rsidP="009B7CE8">
            <w:pPr>
              <w:spacing w:after="240"/>
              <w:rPr>
                <w:rFonts w:ascii="Arial" w:hAnsi="Arial" w:cs="Arial"/>
                <w:sz w:val="20"/>
                <w:szCs w:val="20"/>
              </w:rPr>
            </w:pPr>
            <w:r>
              <w:rPr>
                <w:rFonts w:ascii="Arial" w:hAnsi="Arial" w:cs="Arial"/>
                <w:sz w:val="20"/>
                <w:szCs w:val="20"/>
              </w:rPr>
              <w:t>The CPT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CPT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 for the item. Normally, this must be a valid code (in the fee schedule) </w:t>
            </w:r>
            <w:proofErr w:type="gramStart"/>
            <w:r>
              <w:rPr>
                <w:rFonts w:ascii="Arial" w:hAnsi="Arial" w:cs="Arial"/>
                <w:sz w:val="20"/>
                <w:szCs w:val="20"/>
              </w:rPr>
              <w:t>in order to</w:t>
            </w:r>
            <w:proofErr w:type="gramEnd"/>
            <w:r>
              <w:rPr>
                <w:rFonts w:ascii="Arial" w:hAnsi="Arial" w:cs="Arial"/>
                <w:sz w:val="20"/>
                <w:szCs w:val="20"/>
              </w:rPr>
              <w:t xml:space="preserve"> continue. The exception is “00000”, which may be used to enter a miscellaneous item that is not found in any fee schedule.</w:t>
            </w:r>
          </w:p>
        </w:tc>
      </w:tr>
      <w:tr w:rsidR="00302D6E" w14:paraId="0012926E" w14:textId="77777777" w:rsidTr="009B7CE8">
        <w:trPr>
          <w:cantSplit/>
        </w:trPr>
        <w:tc>
          <w:tcPr>
            <w:tcW w:w="1961" w:type="dxa"/>
            <w:tcBorders>
              <w:top w:val="single" w:sz="4" w:space="0" w:color="auto"/>
              <w:left w:val="single" w:sz="4" w:space="0" w:color="auto"/>
              <w:bottom w:val="single" w:sz="4" w:space="0" w:color="auto"/>
              <w:right w:val="single" w:sz="4" w:space="0" w:color="auto"/>
            </w:tcBorders>
            <w:hideMark/>
          </w:tcPr>
          <w:p w14:paraId="756ADD61" w14:textId="77777777" w:rsidR="00302D6E" w:rsidRDefault="00302D6E" w:rsidP="009B7CE8">
            <w:pPr>
              <w:rPr>
                <w:rFonts w:ascii="Arial" w:hAnsi="Arial" w:cs="Arial"/>
                <w:sz w:val="20"/>
                <w:szCs w:val="20"/>
              </w:rPr>
            </w:pPr>
            <w:r>
              <w:rPr>
                <w:rFonts w:ascii="Arial" w:hAnsi="Arial" w:cs="Arial"/>
                <w:sz w:val="20"/>
                <w:szCs w:val="20"/>
              </w:rPr>
              <w:t>Modifiers</w:t>
            </w:r>
          </w:p>
        </w:tc>
        <w:tc>
          <w:tcPr>
            <w:tcW w:w="6921" w:type="dxa"/>
            <w:tcBorders>
              <w:top w:val="single" w:sz="4" w:space="0" w:color="auto"/>
              <w:left w:val="single" w:sz="4" w:space="0" w:color="auto"/>
              <w:bottom w:val="single" w:sz="4" w:space="0" w:color="auto"/>
              <w:right w:val="single" w:sz="4" w:space="0" w:color="auto"/>
            </w:tcBorders>
            <w:hideMark/>
          </w:tcPr>
          <w:p w14:paraId="1FBBBB71" w14:textId="77777777" w:rsidR="00302D6E" w:rsidRDefault="00302D6E" w:rsidP="009B7CE8">
            <w:pPr>
              <w:rPr>
                <w:rFonts w:ascii="Arial" w:hAnsi="Arial" w:cs="Arial"/>
                <w:sz w:val="20"/>
                <w:szCs w:val="20"/>
              </w:rPr>
            </w:pPr>
            <w:r>
              <w:rPr>
                <w:rFonts w:ascii="Arial" w:hAnsi="Arial" w:cs="Arial"/>
                <w:sz w:val="20"/>
                <w:szCs w:val="20"/>
              </w:rPr>
              <w:t>Up to three modifiers may be applied to the CPT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CPT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 </w:t>
            </w:r>
          </w:p>
        </w:tc>
      </w:tr>
      <w:tr w:rsidR="00302D6E" w14:paraId="46145B4F" w14:textId="77777777" w:rsidTr="009B7CE8">
        <w:trPr>
          <w:cantSplit/>
        </w:trPr>
        <w:tc>
          <w:tcPr>
            <w:tcW w:w="1961" w:type="dxa"/>
            <w:tcBorders>
              <w:top w:val="single" w:sz="4" w:space="0" w:color="auto"/>
              <w:left w:val="single" w:sz="4" w:space="0" w:color="auto"/>
              <w:bottom w:val="single" w:sz="4" w:space="0" w:color="auto"/>
              <w:right w:val="single" w:sz="4" w:space="0" w:color="auto"/>
            </w:tcBorders>
            <w:hideMark/>
          </w:tcPr>
          <w:p w14:paraId="63883829" w14:textId="77777777" w:rsidR="00302D6E" w:rsidRDefault="00302D6E" w:rsidP="009B7CE8">
            <w:pPr>
              <w:rPr>
                <w:rFonts w:ascii="Arial" w:hAnsi="Arial" w:cs="Arial"/>
                <w:sz w:val="20"/>
                <w:szCs w:val="20"/>
              </w:rPr>
            </w:pPr>
            <w:r>
              <w:rPr>
                <w:rFonts w:ascii="Arial" w:hAnsi="Arial" w:cs="Arial"/>
                <w:sz w:val="20"/>
                <w:szCs w:val="20"/>
              </w:rPr>
              <w:t>Specialty</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Specialty</w:instrText>
            </w:r>
            <w:r>
              <w:rPr>
                <w:rFonts w:cstheme="minorBidi"/>
              </w:rPr>
              <w:instrText xml:space="preserve">" </w:instrText>
            </w:r>
            <w:r>
              <w:rPr>
                <w:rFonts w:ascii="Arial" w:hAnsi="Arial" w:cs="Arial"/>
                <w:sz w:val="20"/>
                <w:szCs w:val="20"/>
              </w:rPr>
              <w:fldChar w:fldCharType="end"/>
            </w:r>
          </w:p>
        </w:tc>
        <w:tc>
          <w:tcPr>
            <w:tcW w:w="6921" w:type="dxa"/>
            <w:tcBorders>
              <w:top w:val="single" w:sz="4" w:space="0" w:color="auto"/>
              <w:left w:val="single" w:sz="4" w:space="0" w:color="auto"/>
              <w:bottom w:val="single" w:sz="4" w:space="0" w:color="auto"/>
              <w:right w:val="single" w:sz="4" w:space="0" w:color="auto"/>
            </w:tcBorders>
            <w:hideMark/>
          </w:tcPr>
          <w:p w14:paraId="7BDF718E" w14:textId="77777777" w:rsidR="00302D6E" w:rsidRDefault="00302D6E" w:rsidP="009B7CE8">
            <w:pPr>
              <w:rPr>
                <w:rFonts w:ascii="Arial" w:hAnsi="Arial" w:cs="Arial"/>
                <w:sz w:val="20"/>
                <w:szCs w:val="20"/>
              </w:rPr>
            </w:pPr>
            <w:r>
              <w:rPr>
                <w:rFonts w:ascii="Arial" w:hAnsi="Arial" w:cs="Arial"/>
                <w:sz w:val="20"/>
                <w:szCs w:val="20"/>
              </w:rPr>
              <w:t>When there is a specialty associated with the CPT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CPT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 it may be selected from a list of choices by clicking the Ellipsis button.</w:t>
            </w:r>
          </w:p>
        </w:tc>
      </w:tr>
      <w:tr w:rsidR="00302D6E" w14:paraId="6CCAC8F7" w14:textId="77777777" w:rsidTr="009B7CE8">
        <w:trPr>
          <w:cantSplit/>
        </w:trPr>
        <w:tc>
          <w:tcPr>
            <w:tcW w:w="1961" w:type="dxa"/>
            <w:tcBorders>
              <w:top w:val="single" w:sz="4" w:space="0" w:color="auto"/>
              <w:left w:val="single" w:sz="4" w:space="0" w:color="auto"/>
              <w:bottom w:val="single" w:sz="4" w:space="0" w:color="auto"/>
              <w:right w:val="single" w:sz="4" w:space="0" w:color="auto"/>
            </w:tcBorders>
            <w:hideMark/>
          </w:tcPr>
          <w:p w14:paraId="15FFAFF5" w14:textId="77777777" w:rsidR="00302D6E" w:rsidRDefault="00302D6E" w:rsidP="009B7CE8">
            <w:pPr>
              <w:rPr>
                <w:rFonts w:ascii="Arial" w:hAnsi="Arial" w:cs="Arial"/>
                <w:sz w:val="20"/>
                <w:szCs w:val="20"/>
              </w:rPr>
            </w:pPr>
            <w:r>
              <w:rPr>
                <w:rFonts w:ascii="Arial" w:hAnsi="Arial" w:cs="Arial"/>
                <w:sz w:val="20"/>
                <w:szCs w:val="20"/>
              </w:rPr>
              <w:t>Qty</w:t>
            </w:r>
          </w:p>
        </w:tc>
        <w:tc>
          <w:tcPr>
            <w:tcW w:w="6921" w:type="dxa"/>
            <w:tcBorders>
              <w:top w:val="single" w:sz="4" w:space="0" w:color="auto"/>
              <w:left w:val="single" w:sz="4" w:space="0" w:color="auto"/>
              <w:bottom w:val="single" w:sz="4" w:space="0" w:color="auto"/>
              <w:right w:val="single" w:sz="4" w:space="0" w:color="auto"/>
            </w:tcBorders>
            <w:hideMark/>
          </w:tcPr>
          <w:p w14:paraId="0D0DFDB5" w14:textId="77777777" w:rsidR="00302D6E" w:rsidRDefault="00302D6E" w:rsidP="009B7CE8">
            <w:pPr>
              <w:rPr>
                <w:rFonts w:ascii="Arial" w:hAnsi="Arial" w:cs="Arial"/>
                <w:sz w:val="20"/>
                <w:szCs w:val="20"/>
              </w:rPr>
            </w:pPr>
            <w:r>
              <w:rPr>
                <w:rFonts w:ascii="Arial" w:hAnsi="Arial" w:cs="Arial"/>
                <w:sz w:val="20"/>
                <w:szCs w:val="20"/>
              </w:rPr>
              <w:t xml:space="preserve">The number of units billed for this line item.  </w:t>
            </w:r>
          </w:p>
        </w:tc>
      </w:tr>
      <w:tr w:rsidR="00302D6E" w14:paraId="727F4338" w14:textId="77777777" w:rsidTr="009B7CE8">
        <w:trPr>
          <w:cantSplit/>
        </w:trPr>
        <w:tc>
          <w:tcPr>
            <w:tcW w:w="1961" w:type="dxa"/>
            <w:tcBorders>
              <w:top w:val="single" w:sz="4" w:space="0" w:color="auto"/>
              <w:left w:val="single" w:sz="4" w:space="0" w:color="auto"/>
              <w:bottom w:val="single" w:sz="4" w:space="0" w:color="auto"/>
              <w:right w:val="single" w:sz="4" w:space="0" w:color="auto"/>
            </w:tcBorders>
            <w:hideMark/>
          </w:tcPr>
          <w:p w14:paraId="3A8C9F1F" w14:textId="77777777" w:rsidR="00302D6E" w:rsidRDefault="00302D6E" w:rsidP="009B7CE8">
            <w:pPr>
              <w:rPr>
                <w:rFonts w:ascii="Arial" w:hAnsi="Arial" w:cs="Arial"/>
                <w:sz w:val="20"/>
                <w:szCs w:val="20"/>
              </w:rPr>
            </w:pPr>
            <w:r>
              <w:rPr>
                <w:rFonts w:ascii="Arial" w:hAnsi="Arial" w:cs="Arial"/>
                <w:sz w:val="20"/>
                <w:szCs w:val="20"/>
              </w:rPr>
              <w:t>Invoiced Amount</w:t>
            </w:r>
          </w:p>
        </w:tc>
        <w:tc>
          <w:tcPr>
            <w:tcW w:w="6921" w:type="dxa"/>
            <w:tcBorders>
              <w:top w:val="single" w:sz="4" w:space="0" w:color="auto"/>
              <w:left w:val="single" w:sz="4" w:space="0" w:color="auto"/>
              <w:bottom w:val="single" w:sz="4" w:space="0" w:color="auto"/>
              <w:right w:val="single" w:sz="4" w:space="0" w:color="auto"/>
            </w:tcBorders>
            <w:hideMark/>
          </w:tcPr>
          <w:p w14:paraId="3FC1379C" w14:textId="77777777" w:rsidR="00302D6E" w:rsidRDefault="00302D6E" w:rsidP="009B7CE8">
            <w:pPr>
              <w:spacing w:after="200"/>
              <w:rPr>
                <w:rFonts w:ascii="Arial" w:hAnsi="Arial" w:cs="Arial"/>
                <w:sz w:val="20"/>
                <w:szCs w:val="20"/>
              </w:rPr>
            </w:pPr>
            <w:r>
              <w:rPr>
                <w:rFonts w:ascii="Arial" w:hAnsi="Arial" w:cs="Arial"/>
                <w:sz w:val="20"/>
                <w:szCs w:val="20"/>
              </w:rPr>
              <w:t xml:space="preserve">The amount billed for the procedure. </w:t>
            </w:r>
          </w:p>
        </w:tc>
      </w:tr>
      <w:tr w:rsidR="00302D6E" w14:paraId="2DD71211" w14:textId="77777777" w:rsidTr="009B7CE8">
        <w:trPr>
          <w:cantSplit/>
        </w:trPr>
        <w:tc>
          <w:tcPr>
            <w:tcW w:w="1961" w:type="dxa"/>
            <w:tcBorders>
              <w:top w:val="single" w:sz="4" w:space="0" w:color="auto"/>
              <w:left w:val="single" w:sz="4" w:space="0" w:color="auto"/>
              <w:bottom w:val="single" w:sz="4" w:space="0" w:color="auto"/>
              <w:right w:val="single" w:sz="4" w:space="0" w:color="auto"/>
            </w:tcBorders>
            <w:hideMark/>
          </w:tcPr>
          <w:p w14:paraId="1742BC99" w14:textId="77777777" w:rsidR="00302D6E" w:rsidRDefault="00302D6E" w:rsidP="009B7CE8">
            <w:pPr>
              <w:rPr>
                <w:rFonts w:ascii="Arial" w:hAnsi="Arial" w:cs="Arial"/>
                <w:sz w:val="20"/>
                <w:szCs w:val="20"/>
              </w:rPr>
            </w:pPr>
            <w:r>
              <w:rPr>
                <w:rFonts w:ascii="Arial" w:hAnsi="Arial" w:cs="Arial"/>
                <w:sz w:val="20"/>
                <w:szCs w:val="20"/>
              </w:rPr>
              <w:t>Accepted Amount</w:t>
            </w:r>
          </w:p>
        </w:tc>
        <w:tc>
          <w:tcPr>
            <w:tcW w:w="6921" w:type="dxa"/>
            <w:tcBorders>
              <w:top w:val="single" w:sz="4" w:space="0" w:color="auto"/>
              <w:left w:val="single" w:sz="4" w:space="0" w:color="auto"/>
              <w:bottom w:val="single" w:sz="4" w:space="0" w:color="auto"/>
              <w:right w:val="single" w:sz="4" w:space="0" w:color="auto"/>
            </w:tcBorders>
            <w:hideMark/>
          </w:tcPr>
          <w:p w14:paraId="7649F9CB" w14:textId="77777777" w:rsidR="00302D6E" w:rsidRDefault="00302D6E" w:rsidP="009B7CE8">
            <w:pPr>
              <w:spacing w:after="200"/>
              <w:rPr>
                <w:rFonts w:ascii="Arial" w:hAnsi="Arial" w:cs="Arial"/>
                <w:sz w:val="20"/>
                <w:szCs w:val="20"/>
              </w:rPr>
            </w:pPr>
            <w:r>
              <w:rPr>
                <w:rFonts w:ascii="Arial" w:hAnsi="Arial" w:cs="Arial"/>
                <w:sz w:val="20"/>
                <w:szCs w:val="20"/>
              </w:rPr>
              <w:t xml:space="preserve">The Maximum Reimbursable Amount (MRA) is used if it is less than the amount invoiced. As the amount of each line item is accepted, the total value in the Payable field will be </w:t>
            </w:r>
            <w:proofErr w:type="gramStart"/>
            <w:r>
              <w:rPr>
                <w:rFonts w:ascii="Arial" w:hAnsi="Arial" w:cs="Arial"/>
                <w:sz w:val="20"/>
                <w:szCs w:val="20"/>
              </w:rPr>
              <w:t>incremented</w:t>
            </w:r>
            <w:proofErr w:type="gramEnd"/>
            <w:r>
              <w:rPr>
                <w:rFonts w:ascii="Arial" w:hAnsi="Arial" w:cs="Arial"/>
                <w:sz w:val="20"/>
                <w:szCs w:val="20"/>
              </w:rPr>
              <w:t>.</w:t>
            </w:r>
          </w:p>
          <w:p w14:paraId="0F00D424" w14:textId="77777777" w:rsidR="00302D6E" w:rsidRDefault="00302D6E" w:rsidP="009B7CE8">
            <w:pPr>
              <w:rPr>
                <w:rFonts w:ascii="Arial" w:hAnsi="Arial" w:cs="Arial"/>
                <w:sz w:val="20"/>
                <w:szCs w:val="20"/>
              </w:rPr>
            </w:pPr>
            <w:r>
              <w:rPr>
                <w:rFonts w:ascii="Arial" w:hAnsi="Arial" w:cs="Arial"/>
                <w:sz w:val="20"/>
                <w:szCs w:val="20"/>
              </w:rPr>
              <w:t>Note that if the Bundling</w:t>
            </w:r>
            <w:r>
              <w:rPr>
                <w:rFonts w:ascii="Arial" w:hAnsi="Arial" w:cs="Arial"/>
                <w:sz w:val="20"/>
                <w:szCs w:val="20"/>
              </w:rPr>
              <w:fldChar w:fldCharType="begin"/>
            </w:r>
            <w:r>
              <w:rPr>
                <w:rFonts w:cstheme="minorBidi"/>
              </w:rPr>
              <w:instrText xml:space="preserve"> XE "Bundling" </w:instrText>
            </w:r>
            <w:r>
              <w:rPr>
                <w:rFonts w:ascii="Arial" w:hAnsi="Arial" w:cs="Arial"/>
                <w:sz w:val="20"/>
                <w:szCs w:val="20"/>
              </w:rPr>
              <w:fldChar w:fldCharType="end"/>
            </w:r>
            <w:r>
              <w:rPr>
                <w:rFonts w:ascii="Arial" w:hAnsi="Arial" w:cs="Arial"/>
                <w:sz w:val="20"/>
                <w:szCs w:val="20"/>
              </w:rPr>
              <w:t>/Unbundling</w:t>
            </w:r>
            <w:r>
              <w:rPr>
                <w:rFonts w:ascii="Arial" w:hAnsi="Arial" w:cs="Arial"/>
                <w:sz w:val="20"/>
                <w:szCs w:val="20"/>
              </w:rPr>
              <w:fldChar w:fldCharType="begin"/>
            </w:r>
            <w:r>
              <w:rPr>
                <w:rFonts w:cstheme="minorBidi"/>
              </w:rPr>
              <w:instrText xml:space="preserve"> XE "Unbundling" </w:instrText>
            </w:r>
            <w:r>
              <w:rPr>
                <w:rFonts w:ascii="Arial" w:hAnsi="Arial" w:cs="Arial"/>
                <w:sz w:val="20"/>
                <w:szCs w:val="20"/>
              </w:rPr>
              <w:fldChar w:fldCharType="end"/>
            </w:r>
            <w:r>
              <w:rPr>
                <w:rFonts w:ascii="Arial" w:hAnsi="Arial" w:cs="Arial"/>
                <w:sz w:val="20"/>
                <w:szCs w:val="20"/>
              </w:rPr>
              <w:t xml:space="preserve"> feature is in use, the program will check for major or comprehensive procedures that consist of </w:t>
            </w:r>
            <w:proofErr w:type="gramStart"/>
            <w:r>
              <w:rPr>
                <w:rFonts w:ascii="Arial" w:hAnsi="Arial" w:cs="Arial"/>
                <w:sz w:val="20"/>
                <w:szCs w:val="20"/>
              </w:rPr>
              <w:t>a number of</w:t>
            </w:r>
            <w:proofErr w:type="gramEnd"/>
            <w:r>
              <w:rPr>
                <w:rFonts w:ascii="Arial" w:hAnsi="Arial" w:cs="Arial"/>
                <w:sz w:val="20"/>
                <w:szCs w:val="20"/>
              </w:rPr>
              <w:t xml:space="preserve"> individual procedures. For example, the CPT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CPT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 31505 (</w:t>
            </w:r>
            <w:proofErr w:type="spellStart"/>
            <w:r>
              <w:rPr>
                <w:rFonts w:ascii="Arial" w:hAnsi="Arial" w:cs="Arial"/>
                <w:sz w:val="20"/>
                <w:szCs w:val="20"/>
              </w:rPr>
              <w:t>larynoscopy</w:t>
            </w:r>
            <w:proofErr w:type="spellEnd"/>
            <w:r>
              <w:rPr>
                <w:rFonts w:ascii="Arial" w:hAnsi="Arial" w:cs="Arial"/>
                <w:sz w:val="20"/>
                <w:szCs w:val="20"/>
              </w:rPr>
              <w:t xml:space="preserve"> diagnostic) consists of many other procedures, one of which is 36000 (microsurgery add-on). If both are on the same bill, the program will detect that the "code 36000 is part of the comprehensive procedure code 31505" and enter ZERO in the accepted amount for line 36000. The program will also look for mutually exclusive procedures (e.g. 27177 and 11010) that are not allowed on the same bill.</w:t>
            </w:r>
          </w:p>
        </w:tc>
      </w:tr>
      <w:tr w:rsidR="00302D6E" w14:paraId="2CFDDDFD" w14:textId="77777777" w:rsidTr="009B7CE8">
        <w:trPr>
          <w:cantSplit/>
        </w:trPr>
        <w:tc>
          <w:tcPr>
            <w:tcW w:w="1961" w:type="dxa"/>
            <w:tcBorders>
              <w:top w:val="single" w:sz="4" w:space="0" w:color="auto"/>
              <w:left w:val="single" w:sz="4" w:space="0" w:color="auto"/>
              <w:bottom w:val="single" w:sz="4" w:space="0" w:color="auto"/>
              <w:right w:val="single" w:sz="4" w:space="0" w:color="auto"/>
            </w:tcBorders>
            <w:hideMark/>
          </w:tcPr>
          <w:p w14:paraId="2EDCD75D" w14:textId="77777777" w:rsidR="00302D6E" w:rsidRDefault="00302D6E" w:rsidP="009B7CE8">
            <w:pPr>
              <w:rPr>
                <w:rFonts w:ascii="Arial" w:hAnsi="Arial" w:cs="Arial"/>
                <w:sz w:val="20"/>
                <w:szCs w:val="20"/>
              </w:rPr>
            </w:pPr>
            <w:r>
              <w:rPr>
                <w:rFonts w:ascii="Arial" w:hAnsi="Arial" w:cs="Arial"/>
                <w:sz w:val="20"/>
                <w:szCs w:val="20"/>
              </w:rPr>
              <w:t>Override</w:t>
            </w:r>
          </w:p>
        </w:tc>
        <w:tc>
          <w:tcPr>
            <w:tcW w:w="6921" w:type="dxa"/>
            <w:tcBorders>
              <w:top w:val="single" w:sz="4" w:space="0" w:color="auto"/>
              <w:left w:val="single" w:sz="4" w:space="0" w:color="auto"/>
              <w:bottom w:val="single" w:sz="4" w:space="0" w:color="auto"/>
              <w:right w:val="single" w:sz="4" w:space="0" w:color="auto"/>
            </w:tcBorders>
            <w:hideMark/>
          </w:tcPr>
          <w:p w14:paraId="693EE5AC" w14:textId="77777777" w:rsidR="00302D6E" w:rsidRDefault="00302D6E" w:rsidP="009B7CE8">
            <w:pPr>
              <w:rPr>
                <w:rFonts w:ascii="Arial" w:hAnsi="Arial" w:cs="Arial"/>
                <w:sz w:val="20"/>
                <w:szCs w:val="20"/>
              </w:rPr>
            </w:pPr>
            <w:r>
              <w:rPr>
                <w:rFonts w:ascii="Arial" w:hAnsi="Arial" w:cs="Arial"/>
                <w:sz w:val="20"/>
                <w:szCs w:val="20"/>
              </w:rPr>
              <w:t>An override code to explain why the amount to be paid is different than the amount billed. Press the Ellipsis button for the user-defined choices, which are maintained from the console Maintenance menu item.</w:t>
            </w:r>
          </w:p>
        </w:tc>
      </w:tr>
      <w:tr w:rsidR="00302D6E" w14:paraId="1B751C7E" w14:textId="77777777" w:rsidTr="009B7CE8">
        <w:trPr>
          <w:cantSplit/>
        </w:trPr>
        <w:tc>
          <w:tcPr>
            <w:tcW w:w="1961" w:type="dxa"/>
            <w:tcBorders>
              <w:top w:val="single" w:sz="4" w:space="0" w:color="auto"/>
              <w:left w:val="single" w:sz="4" w:space="0" w:color="auto"/>
              <w:bottom w:val="single" w:sz="4" w:space="0" w:color="auto"/>
              <w:right w:val="single" w:sz="4" w:space="0" w:color="auto"/>
            </w:tcBorders>
            <w:hideMark/>
          </w:tcPr>
          <w:p w14:paraId="2239F8F8" w14:textId="77777777" w:rsidR="00302D6E" w:rsidRDefault="00302D6E" w:rsidP="009B7CE8">
            <w:pPr>
              <w:rPr>
                <w:rFonts w:ascii="Arial" w:hAnsi="Arial" w:cs="Arial"/>
                <w:sz w:val="20"/>
                <w:szCs w:val="20"/>
              </w:rPr>
            </w:pPr>
            <w:r>
              <w:rPr>
                <w:rFonts w:ascii="Arial" w:hAnsi="Arial" w:cs="Arial"/>
                <w:sz w:val="20"/>
                <w:szCs w:val="20"/>
              </w:rPr>
              <w:t>Futures</w:t>
            </w:r>
          </w:p>
        </w:tc>
        <w:tc>
          <w:tcPr>
            <w:tcW w:w="6921" w:type="dxa"/>
            <w:tcBorders>
              <w:top w:val="single" w:sz="4" w:space="0" w:color="auto"/>
              <w:left w:val="single" w:sz="4" w:space="0" w:color="auto"/>
              <w:bottom w:val="single" w:sz="4" w:space="0" w:color="auto"/>
              <w:right w:val="single" w:sz="4" w:space="0" w:color="auto"/>
            </w:tcBorders>
            <w:hideMark/>
          </w:tcPr>
          <w:p w14:paraId="25111591" w14:textId="77777777" w:rsidR="00302D6E" w:rsidRDefault="00302D6E" w:rsidP="009B7CE8">
            <w:pPr>
              <w:rPr>
                <w:rFonts w:ascii="Arial" w:hAnsi="Arial" w:cs="Arial"/>
                <w:sz w:val="20"/>
                <w:szCs w:val="20"/>
              </w:rPr>
            </w:pPr>
            <w:r>
              <w:rPr>
                <w:rFonts w:ascii="Arial" w:hAnsi="Arial" w:cs="Arial"/>
                <w:sz w:val="20"/>
                <w:szCs w:val="20"/>
              </w:rPr>
              <w:t>The amount available in the claim’s (future) medical reserves</w:t>
            </w:r>
            <w:r>
              <w:rPr>
                <w:rFonts w:ascii="Arial" w:hAnsi="Arial" w:cs="Arial"/>
                <w:sz w:val="20"/>
                <w:szCs w:val="20"/>
              </w:rPr>
              <w:fldChar w:fldCharType="begin"/>
            </w:r>
            <w:r>
              <w:rPr>
                <w:rFonts w:cstheme="minorBidi"/>
              </w:rPr>
              <w:instrText xml:space="preserve"> XE "reserves" </w:instrText>
            </w:r>
            <w:r>
              <w:rPr>
                <w:rFonts w:ascii="Arial" w:hAnsi="Arial" w:cs="Arial"/>
                <w:sz w:val="20"/>
                <w:szCs w:val="20"/>
              </w:rPr>
              <w:fldChar w:fldCharType="end"/>
            </w:r>
            <w:r>
              <w:rPr>
                <w:rFonts w:ascii="Arial" w:hAnsi="Arial" w:cs="Arial"/>
                <w:sz w:val="20"/>
                <w:szCs w:val="20"/>
              </w:rPr>
              <w:t xml:space="preserve">. See below for </w:t>
            </w:r>
            <w:proofErr w:type="gramStart"/>
            <w:r>
              <w:rPr>
                <w:rFonts w:ascii="Arial" w:hAnsi="Arial" w:cs="Arial"/>
                <w:sz w:val="20"/>
                <w:szCs w:val="20"/>
              </w:rPr>
              <w:t>details</w:t>
            </w:r>
            <w:proofErr w:type="gramEnd"/>
            <w:r>
              <w:rPr>
                <w:rFonts w:ascii="Arial" w:hAnsi="Arial" w:cs="Arial"/>
                <w:sz w:val="20"/>
                <w:szCs w:val="20"/>
              </w:rPr>
              <w:t xml:space="preserve"> when the amount is insufficient to cover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w:t>
            </w:r>
          </w:p>
        </w:tc>
      </w:tr>
      <w:tr w:rsidR="00302D6E" w14:paraId="6F81C387" w14:textId="77777777" w:rsidTr="009B7CE8">
        <w:trPr>
          <w:cantSplit/>
        </w:trPr>
        <w:tc>
          <w:tcPr>
            <w:tcW w:w="1961" w:type="dxa"/>
            <w:tcBorders>
              <w:top w:val="single" w:sz="4" w:space="0" w:color="auto"/>
              <w:left w:val="single" w:sz="4" w:space="0" w:color="auto"/>
              <w:bottom w:val="single" w:sz="4" w:space="0" w:color="auto"/>
              <w:right w:val="single" w:sz="4" w:space="0" w:color="auto"/>
            </w:tcBorders>
            <w:hideMark/>
          </w:tcPr>
          <w:p w14:paraId="76D2C5D1" w14:textId="77777777" w:rsidR="00302D6E" w:rsidRDefault="00302D6E" w:rsidP="009B7CE8">
            <w:pPr>
              <w:rPr>
                <w:rFonts w:ascii="Arial" w:hAnsi="Arial" w:cs="Arial"/>
                <w:sz w:val="20"/>
                <w:szCs w:val="20"/>
              </w:rPr>
            </w:pPr>
            <w:r>
              <w:rPr>
                <w:rFonts w:ascii="Arial" w:hAnsi="Arial" w:cs="Arial"/>
                <w:sz w:val="20"/>
                <w:szCs w:val="20"/>
              </w:rPr>
              <w:t>Total Payable</w:t>
            </w:r>
          </w:p>
        </w:tc>
        <w:tc>
          <w:tcPr>
            <w:tcW w:w="6921" w:type="dxa"/>
            <w:tcBorders>
              <w:top w:val="single" w:sz="4" w:space="0" w:color="auto"/>
              <w:left w:val="single" w:sz="4" w:space="0" w:color="auto"/>
              <w:bottom w:val="single" w:sz="4" w:space="0" w:color="auto"/>
              <w:right w:val="single" w:sz="4" w:space="0" w:color="auto"/>
            </w:tcBorders>
            <w:hideMark/>
          </w:tcPr>
          <w:p w14:paraId="0EFBDE09" w14:textId="77777777" w:rsidR="00302D6E" w:rsidRDefault="00302D6E" w:rsidP="009B7CE8">
            <w:pPr>
              <w:rPr>
                <w:rFonts w:ascii="Arial" w:hAnsi="Arial" w:cs="Arial"/>
                <w:sz w:val="20"/>
                <w:szCs w:val="20"/>
              </w:rPr>
            </w:pPr>
            <w:proofErr w:type="gramStart"/>
            <w:r>
              <w:rPr>
                <w:rFonts w:ascii="Arial" w:hAnsi="Arial" w:cs="Arial"/>
                <w:sz w:val="20"/>
                <w:szCs w:val="20"/>
              </w:rPr>
              <w:t>As  line</w:t>
            </w:r>
            <w:proofErr w:type="gramEnd"/>
            <w:r>
              <w:rPr>
                <w:rFonts w:ascii="Arial" w:hAnsi="Arial" w:cs="Arial"/>
                <w:sz w:val="20"/>
                <w:szCs w:val="20"/>
              </w:rPr>
              <w:t xml:space="preserve">  </w:t>
            </w:r>
            <w:proofErr w:type="gramStart"/>
            <w:r>
              <w:rPr>
                <w:rFonts w:ascii="Arial" w:hAnsi="Arial" w:cs="Arial"/>
                <w:sz w:val="20"/>
                <w:szCs w:val="20"/>
              </w:rPr>
              <w:t>items  are</w:t>
            </w:r>
            <w:proofErr w:type="gramEnd"/>
            <w:r>
              <w:rPr>
                <w:rFonts w:ascii="Arial" w:hAnsi="Arial" w:cs="Arial"/>
                <w:sz w:val="20"/>
                <w:szCs w:val="20"/>
              </w:rPr>
              <w:t xml:space="preserve">  </w:t>
            </w:r>
            <w:proofErr w:type="gramStart"/>
            <w:r>
              <w:rPr>
                <w:rFonts w:ascii="Arial" w:hAnsi="Arial" w:cs="Arial"/>
                <w:sz w:val="20"/>
                <w:szCs w:val="20"/>
              </w:rPr>
              <w:t>entered  and</w:t>
            </w:r>
            <w:proofErr w:type="gramEnd"/>
            <w:r>
              <w:rPr>
                <w:rFonts w:ascii="Arial" w:hAnsi="Arial" w:cs="Arial"/>
                <w:sz w:val="20"/>
                <w:szCs w:val="20"/>
              </w:rPr>
              <w:t xml:space="preserve">  </w:t>
            </w:r>
            <w:proofErr w:type="gramStart"/>
            <w:r>
              <w:rPr>
                <w:rFonts w:ascii="Arial" w:hAnsi="Arial" w:cs="Arial"/>
                <w:sz w:val="20"/>
                <w:szCs w:val="20"/>
              </w:rPr>
              <w:t>accepted,  the</w:t>
            </w:r>
            <w:proofErr w:type="gramEnd"/>
            <w:r>
              <w:rPr>
                <w:rFonts w:ascii="Arial" w:hAnsi="Arial" w:cs="Arial"/>
                <w:sz w:val="20"/>
                <w:szCs w:val="20"/>
              </w:rPr>
              <w:t xml:space="preserve">  </w:t>
            </w:r>
            <w:proofErr w:type="gramStart"/>
            <w:r>
              <w:rPr>
                <w:rFonts w:ascii="Arial" w:hAnsi="Arial" w:cs="Arial"/>
                <w:sz w:val="20"/>
                <w:szCs w:val="20"/>
              </w:rPr>
              <w:t>program  will</w:t>
            </w:r>
            <w:proofErr w:type="gramEnd"/>
            <w:r>
              <w:rPr>
                <w:rFonts w:ascii="Arial" w:hAnsi="Arial" w:cs="Arial"/>
                <w:sz w:val="20"/>
                <w:szCs w:val="20"/>
              </w:rPr>
              <w:t xml:space="preserve">  </w:t>
            </w:r>
            <w:proofErr w:type="gramStart"/>
            <w:r>
              <w:rPr>
                <w:rFonts w:ascii="Arial" w:hAnsi="Arial" w:cs="Arial"/>
                <w:sz w:val="20"/>
                <w:szCs w:val="20"/>
              </w:rPr>
              <w:t>adjust  this</w:t>
            </w:r>
            <w:proofErr w:type="gramEnd"/>
            <w:r>
              <w:rPr>
                <w:rFonts w:ascii="Arial" w:hAnsi="Arial" w:cs="Arial"/>
                <w:sz w:val="20"/>
                <w:szCs w:val="20"/>
              </w:rPr>
              <w:t xml:space="preserve">  value accordingly. When the record is saved, this amount will be used to update the </w:t>
            </w:r>
            <w:proofErr w:type="gramStart"/>
            <w:r>
              <w:rPr>
                <w:rFonts w:ascii="Arial" w:hAnsi="Arial" w:cs="Arial"/>
                <w:sz w:val="20"/>
                <w:szCs w:val="20"/>
              </w:rPr>
              <w:t>paid</w:t>
            </w:r>
            <w:proofErr w:type="gramEnd"/>
            <w:r>
              <w:rPr>
                <w:rFonts w:ascii="Arial" w:hAnsi="Arial" w:cs="Arial"/>
                <w:sz w:val="20"/>
                <w:szCs w:val="20"/>
              </w:rPr>
              <w:t xml:space="preserve"> to date and future reserves</w:t>
            </w:r>
            <w:r>
              <w:rPr>
                <w:rFonts w:ascii="Arial" w:hAnsi="Arial" w:cs="Arial"/>
                <w:sz w:val="20"/>
                <w:szCs w:val="20"/>
              </w:rPr>
              <w:fldChar w:fldCharType="begin"/>
            </w:r>
            <w:r>
              <w:rPr>
                <w:rFonts w:cstheme="minorBidi"/>
              </w:rPr>
              <w:instrText xml:space="preserve"> XE "reserves" </w:instrText>
            </w:r>
            <w:r>
              <w:rPr>
                <w:rFonts w:ascii="Arial" w:hAnsi="Arial" w:cs="Arial"/>
                <w:sz w:val="20"/>
                <w:szCs w:val="20"/>
              </w:rPr>
              <w:fldChar w:fldCharType="end"/>
            </w:r>
            <w:r>
              <w:rPr>
                <w:rFonts w:ascii="Arial" w:hAnsi="Arial" w:cs="Arial"/>
                <w:sz w:val="20"/>
                <w:szCs w:val="20"/>
              </w:rPr>
              <w:t xml:space="preserve"> in the claim.</w:t>
            </w:r>
          </w:p>
        </w:tc>
      </w:tr>
      <w:tr w:rsidR="00302D6E" w14:paraId="0193DE7F" w14:textId="77777777" w:rsidTr="009B7CE8">
        <w:trPr>
          <w:cantSplit/>
        </w:trPr>
        <w:tc>
          <w:tcPr>
            <w:tcW w:w="1961" w:type="dxa"/>
            <w:tcBorders>
              <w:top w:val="single" w:sz="4" w:space="0" w:color="auto"/>
              <w:left w:val="single" w:sz="4" w:space="0" w:color="auto"/>
              <w:bottom w:val="single" w:sz="4" w:space="0" w:color="auto"/>
              <w:right w:val="single" w:sz="4" w:space="0" w:color="auto"/>
            </w:tcBorders>
            <w:hideMark/>
          </w:tcPr>
          <w:p w14:paraId="6036FE17" w14:textId="77777777" w:rsidR="00302D6E" w:rsidRDefault="00302D6E" w:rsidP="009B7CE8">
            <w:pPr>
              <w:rPr>
                <w:rFonts w:ascii="Arial" w:hAnsi="Arial" w:cs="Arial"/>
                <w:sz w:val="20"/>
                <w:szCs w:val="20"/>
              </w:rPr>
            </w:pPr>
            <w:r>
              <w:rPr>
                <w:rFonts w:ascii="Arial" w:hAnsi="Arial" w:cs="Arial"/>
                <w:sz w:val="20"/>
                <w:szCs w:val="20"/>
              </w:rPr>
              <w:t>Rate Table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Rate Table</w:instrText>
            </w:r>
            <w:r>
              <w:rPr>
                <w:rFonts w:cstheme="minorBidi"/>
              </w:rPr>
              <w:instrText xml:space="preserve">" </w:instrText>
            </w:r>
            <w:r>
              <w:rPr>
                <w:rFonts w:ascii="Arial" w:hAnsi="Arial" w:cs="Arial"/>
                <w:sz w:val="20"/>
                <w:szCs w:val="20"/>
              </w:rPr>
              <w:fldChar w:fldCharType="end"/>
            </w:r>
          </w:p>
        </w:tc>
        <w:tc>
          <w:tcPr>
            <w:tcW w:w="6921" w:type="dxa"/>
            <w:tcBorders>
              <w:top w:val="single" w:sz="4" w:space="0" w:color="auto"/>
              <w:left w:val="single" w:sz="4" w:space="0" w:color="auto"/>
              <w:bottom w:val="single" w:sz="4" w:space="0" w:color="auto"/>
              <w:right w:val="single" w:sz="4" w:space="0" w:color="auto"/>
            </w:tcBorders>
            <w:hideMark/>
          </w:tcPr>
          <w:p w14:paraId="38BE8F7F" w14:textId="77777777" w:rsidR="00302D6E" w:rsidRDefault="00302D6E" w:rsidP="009B7CE8">
            <w:pPr>
              <w:rPr>
                <w:rFonts w:ascii="Arial" w:hAnsi="Arial" w:cs="Arial"/>
                <w:sz w:val="20"/>
                <w:szCs w:val="20"/>
              </w:rPr>
            </w:pPr>
            <w:r>
              <w:rPr>
                <w:rFonts w:ascii="Arial" w:hAnsi="Arial" w:cs="Arial"/>
                <w:sz w:val="20"/>
                <w:szCs w:val="20"/>
              </w:rPr>
              <w:t>The program will display the name of the fee schedule table in use.</w:t>
            </w:r>
          </w:p>
        </w:tc>
      </w:tr>
    </w:tbl>
    <w:p w14:paraId="1C92024A" w14:textId="77777777" w:rsidR="007429CC" w:rsidRDefault="007429CC" w:rsidP="00116536">
      <w:pPr>
        <w:spacing w:before="240" w:after="200"/>
        <w:ind w:left="360"/>
        <w:rPr>
          <w:rFonts w:ascii="Copperplate Gothic Bold" w:eastAsiaTheme="majorEastAsia" w:hAnsi="Copperplate Gothic Bold" w:cstheme="majorBidi"/>
          <w:b/>
          <w:bCs/>
          <w:color w:val="0F4761" w:themeColor="accent1" w:themeShade="BF"/>
        </w:rPr>
      </w:pPr>
    </w:p>
    <w:p w14:paraId="3497DF48" w14:textId="1025FE1B" w:rsidR="00302D6E" w:rsidRDefault="00C1280E" w:rsidP="00116536">
      <w:pPr>
        <w:spacing w:before="240" w:after="200"/>
        <w:ind w:left="360"/>
        <w:rPr>
          <w:rFonts w:ascii="Copperplate Gothic Bold" w:eastAsiaTheme="majorEastAsia" w:hAnsi="Copperplate Gothic Bold" w:cstheme="majorBidi"/>
          <w:b/>
          <w:bCs/>
          <w:color w:val="0F4761" w:themeColor="accent1" w:themeShade="BF"/>
        </w:rPr>
      </w:pPr>
      <w:r>
        <w:rPr>
          <w:noProof/>
          <w14:ligatures w14:val="standardContextual"/>
        </w:rPr>
        <w:drawing>
          <wp:inline distT="0" distB="0" distL="0" distR="0" wp14:anchorId="6B12BDA3" wp14:editId="2EB0EF61">
            <wp:extent cx="19562400" cy="18480557"/>
            <wp:effectExtent l="0" t="0" r="2540" b="0"/>
            <wp:docPr id="9111200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20086" name="Picture 1" descr="A screenshot of a computer&#10;&#10;AI-generated content may be incorrect."/>
                    <pic:cNvPicPr/>
                  </pic:nvPicPr>
                  <pic:blipFill>
                    <a:blip r:embed="rId4"/>
                    <a:stretch>
                      <a:fillRect/>
                    </a:stretch>
                  </pic:blipFill>
                  <pic:spPr>
                    <a:xfrm>
                      <a:off x="0" y="0"/>
                      <a:ext cx="19564782" cy="18482807"/>
                    </a:xfrm>
                    <a:prstGeom prst="rect">
                      <a:avLst/>
                    </a:prstGeom>
                  </pic:spPr>
                </pic:pic>
              </a:graphicData>
            </a:graphic>
          </wp:inline>
        </w:drawing>
      </w:r>
    </w:p>
    <w:p w14:paraId="286E985E" w14:textId="77777777" w:rsidR="007429CC" w:rsidRDefault="007429CC" w:rsidP="007429CC">
      <w:pPr>
        <w:spacing w:before="240" w:after="200"/>
        <w:ind w:left="360"/>
      </w:pPr>
    </w:p>
    <w:p w14:paraId="35D80C91" w14:textId="77777777" w:rsidR="007429CC" w:rsidRDefault="007429CC" w:rsidP="007429CC">
      <w:pPr>
        <w:spacing w:before="240" w:after="200"/>
        <w:ind w:left="360"/>
      </w:pPr>
      <w:r>
        <w:t xml:space="preserve">As the user enters line items, they are displayed in a grid at the bottom of the screen.  The Line Item # field determines which item is currently being edited.  By default, when a new line item is entered, the previous </w:t>
      </w:r>
      <w:proofErr w:type="gramStart"/>
      <w:r>
        <w:t>From</w:t>
      </w:r>
      <w:proofErr w:type="gramEnd"/>
      <w:r>
        <w:t>/Thru dates will be copied to the new record and can be modified if needed.</w:t>
      </w:r>
    </w:p>
    <w:p w14:paraId="24BB6935" w14:textId="52B1E7DC" w:rsidR="00116536" w:rsidRDefault="007429CC" w:rsidP="007429CC">
      <w:pPr>
        <w:pStyle w:val="Heading3"/>
        <w:rPr>
          <w:rFonts w:ascii="Copperplate Gothic Bold" w:hAnsi="Copperplate Gothic Bold"/>
          <w:color w:val="4C94D8" w:themeColor="text2" w:themeTint="80"/>
          <w:sz w:val="24"/>
          <w:szCs w:val="24"/>
        </w:rPr>
      </w:pPr>
      <w:r>
        <w:br w:type="page"/>
      </w:r>
      <w:r w:rsidR="00312C18">
        <w:rPr>
          <w:noProof/>
        </w:rPr>
        <w:drawing>
          <wp:inline distT="0" distB="0" distL="0" distR="0" wp14:anchorId="0E18D4D1" wp14:editId="273966FB">
            <wp:extent cx="12136582" cy="2753247"/>
            <wp:effectExtent l="0" t="0" r="0" b="9525"/>
            <wp:docPr id="16685302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30249" name="Picture 1" descr="A screenshot of a computer&#10;&#10;AI-generated content may be incorrect."/>
                    <pic:cNvPicPr/>
                  </pic:nvPicPr>
                  <pic:blipFill>
                    <a:blip r:embed="rId5"/>
                    <a:stretch>
                      <a:fillRect/>
                    </a:stretch>
                  </pic:blipFill>
                  <pic:spPr>
                    <a:xfrm>
                      <a:off x="0" y="0"/>
                      <a:ext cx="12143348" cy="2754782"/>
                    </a:xfrm>
                    <a:prstGeom prst="rect">
                      <a:avLst/>
                    </a:prstGeom>
                  </pic:spPr>
                </pic:pic>
              </a:graphicData>
            </a:graphic>
          </wp:inline>
        </w:drawing>
      </w:r>
    </w:p>
    <w:p w14:paraId="4BE7CA96" w14:textId="77777777" w:rsidR="00116536" w:rsidRPr="00116536" w:rsidRDefault="00116536" w:rsidP="00116536"/>
    <w:p w14:paraId="415D89BC" w14:textId="75F7210A" w:rsidR="00302D6E" w:rsidRDefault="00DA64CC" w:rsidP="00302D6E">
      <w:pPr>
        <w:pStyle w:val="Heading3"/>
      </w:pPr>
      <w:r>
        <w:rPr>
          <w:rFonts w:ascii="Copperplate Gothic Bold" w:hAnsi="Copperplate Gothic Bold"/>
          <w:color w:val="4C94D8" w:themeColor="text2" w:themeTint="80"/>
          <w:sz w:val="24"/>
          <w:szCs w:val="24"/>
        </w:rPr>
        <w:t>Payee Selection</w:t>
      </w:r>
      <w:r w:rsidR="00302D6E">
        <w:t xml:space="preserve"> </w:t>
      </w:r>
    </w:p>
    <w:p w14:paraId="3C79D8D0" w14:textId="77777777" w:rsidR="00302D6E" w:rsidRDefault="00302D6E" w:rsidP="00302D6E">
      <w:pPr>
        <w:spacing w:before="240" w:after="200"/>
        <w:ind w:left="720"/>
      </w:pPr>
      <w:r>
        <w:t xml:space="preserve">The three-dot button brings up a dialog with options to select a payee.  The Search Vendors option brings up a search list of all active vendors.  Vendors from the claim screen will be shown as options if filled in on the claim such as the Claimant and Defense Atty.  If this claim has prior </w:t>
      </w:r>
      <w:proofErr w:type="gramStart"/>
      <w:r>
        <w:t>payments</w:t>
      </w:r>
      <w:proofErr w:type="gramEnd"/>
      <w:r>
        <w:t xml:space="preserve"> then the most recent and most used vendors will be selections as well.</w:t>
      </w:r>
    </w:p>
    <w:p w14:paraId="297F67C0" w14:textId="77777777" w:rsidR="00302D6E" w:rsidRDefault="00302D6E" w:rsidP="00302D6E">
      <w:pPr>
        <w:spacing w:before="240" w:after="200"/>
        <w:ind w:left="720"/>
      </w:pPr>
      <w:r>
        <w:rPr>
          <w:noProof/>
        </w:rPr>
        <w:drawing>
          <wp:inline distT="0" distB="0" distL="0" distR="0" wp14:anchorId="6FC0429D" wp14:editId="73EDA70F">
            <wp:extent cx="8439150" cy="3134026"/>
            <wp:effectExtent l="0" t="0" r="0" b="9525"/>
            <wp:docPr id="13545094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509457" name="Picture 1" descr="A screenshot of a computer&#10;&#10;Description automatically generated"/>
                    <pic:cNvPicPr/>
                  </pic:nvPicPr>
                  <pic:blipFill>
                    <a:blip r:embed="rId6"/>
                    <a:stretch>
                      <a:fillRect/>
                    </a:stretch>
                  </pic:blipFill>
                  <pic:spPr>
                    <a:xfrm>
                      <a:off x="0" y="0"/>
                      <a:ext cx="8452060" cy="3138820"/>
                    </a:xfrm>
                    <a:prstGeom prst="rect">
                      <a:avLst/>
                    </a:prstGeom>
                  </pic:spPr>
                </pic:pic>
              </a:graphicData>
            </a:graphic>
          </wp:inline>
        </w:drawing>
      </w:r>
    </w:p>
    <w:p w14:paraId="17BBEF78" w14:textId="77777777" w:rsidR="00302D6E" w:rsidRDefault="00302D6E" w:rsidP="00302D6E">
      <w:pPr>
        <w:spacing w:before="240" w:after="200"/>
        <w:ind w:left="720"/>
      </w:pPr>
    </w:p>
    <w:p w14:paraId="1FDE8358" w14:textId="77777777" w:rsidR="00302D6E" w:rsidRDefault="00302D6E" w:rsidP="00302D6E">
      <w:pPr>
        <w:spacing w:before="240" w:after="200"/>
        <w:ind w:left="720"/>
      </w:pPr>
      <w:r>
        <w:t xml:space="preserve">If the fed ID is known, it can be entered in the Payee ID field and the first vendor record found with that fed ID will be filled in.  If there are multiple vendor records with the same fed ID, then the greater than sign button can be used to </w:t>
      </w:r>
      <w:proofErr w:type="gramStart"/>
      <w:r>
        <w:t>the fetch</w:t>
      </w:r>
      <w:proofErr w:type="gramEnd"/>
      <w:r>
        <w:t xml:space="preserve"> the next vendor record for the same fed ID.  In this example, Payee ID would become </w:t>
      </w:r>
      <w:r>
        <w:rPr>
          <w:rFonts w:ascii="Consolas" w:hAnsi="Consolas" w:cs="Consolas"/>
          <w:color w:val="000000"/>
          <w:sz w:val="19"/>
          <w:szCs w:val="19"/>
        </w:rPr>
        <w:t xml:space="preserve">77-0683170*016 </w:t>
      </w:r>
      <w:r>
        <w:t xml:space="preserve">if the button is clicked, then if clicked again </w:t>
      </w:r>
      <w:r>
        <w:rPr>
          <w:rFonts w:ascii="Consolas" w:hAnsi="Consolas" w:cs="Consolas"/>
          <w:color w:val="000000"/>
          <w:sz w:val="19"/>
          <w:szCs w:val="19"/>
        </w:rPr>
        <w:t>77-0683170*099…</w:t>
      </w:r>
    </w:p>
    <w:p w14:paraId="36619C03" w14:textId="77777777" w:rsidR="00302D6E" w:rsidRDefault="00302D6E" w:rsidP="00302D6E">
      <w:pPr>
        <w:spacing w:before="240" w:after="200"/>
        <w:ind w:left="720"/>
      </w:pPr>
      <w:r>
        <w:rPr>
          <w:noProof/>
        </w:rPr>
        <w:drawing>
          <wp:inline distT="0" distB="0" distL="0" distR="0" wp14:anchorId="4D107591" wp14:editId="109028D0">
            <wp:extent cx="5713011" cy="1400175"/>
            <wp:effectExtent l="0" t="0" r="2540" b="0"/>
            <wp:docPr id="495396152" name="Picture 1" descr="A red arrow pointing to a white rectangular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96152" name="Picture 1" descr="A red arrow pointing to a white rectangular object&#10;&#10;Description automatically generated with medium confidence"/>
                    <pic:cNvPicPr/>
                  </pic:nvPicPr>
                  <pic:blipFill>
                    <a:blip r:embed="rId7"/>
                    <a:stretch>
                      <a:fillRect/>
                    </a:stretch>
                  </pic:blipFill>
                  <pic:spPr>
                    <a:xfrm>
                      <a:off x="0" y="0"/>
                      <a:ext cx="5781265" cy="1416903"/>
                    </a:xfrm>
                    <a:prstGeom prst="rect">
                      <a:avLst/>
                    </a:prstGeom>
                  </pic:spPr>
                </pic:pic>
              </a:graphicData>
            </a:graphic>
          </wp:inline>
        </w:drawing>
      </w:r>
    </w:p>
    <w:p w14:paraId="59AAFF26" w14:textId="77777777" w:rsidR="00302D6E" w:rsidRDefault="00302D6E" w:rsidP="00302D6E">
      <w:pPr>
        <w:spacing w:before="240" w:after="200"/>
        <w:ind w:left="720"/>
      </w:pPr>
      <w:r>
        <w:rPr>
          <w:noProof/>
        </w:rPr>
        <w:drawing>
          <wp:inline distT="0" distB="0" distL="0" distR="0" wp14:anchorId="0BB8DD58" wp14:editId="3F3D1BB8">
            <wp:extent cx="11439525" cy="3876729"/>
            <wp:effectExtent l="0" t="0" r="0" b="9525"/>
            <wp:docPr id="13992774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77463" name="Picture 1" descr="A screenshot of a computer&#10;&#10;Description automatically generated"/>
                    <pic:cNvPicPr/>
                  </pic:nvPicPr>
                  <pic:blipFill>
                    <a:blip r:embed="rId8"/>
                    <a:stretch>
                      <a:fillRect/>
                    </a:stretch>
                  </pic:blipFill>
                  <pic:spPr>
                    <a:xfrm>
                      <a:off x="0" y="0"/>
                      <a:ext cx="11465414" cy="3885502"/>
                    </a:xfrm>
                    <a:prstGeom prst="rect">
                      <a:avLst/>
                    </a:prstGeom>
                  </pic:spPr>
                </pic:pic>
              </a:graphicData>
            </a:graphic>
          </wp:inline>
        </w:drawing>
      </w:r>
    </w:p>
    <w:p w14:paraId="03C92B23" w14:textId="77777777" w:rsidR="00DA64CC" w:rsidRDefault="00DA64CC" w:rsidP="00302D6E">
      <w:pPr>
        <w:pStyle w:val="Heading3"/>
      </w:pPr>
    </w:p>
    <w:p w14:paraId="5D0F38EF" w14:textId="77777777" w:rsidR="00116536" w:rsidRPr="00116536" w:rsidRDefault="00116536" w:rsidP="00116536"/>
    <w:p w14:paraId="17400AAB" w14:textId="3C7BC0FF" w:rsidR="00302D6E" w:rsidRDefault="00DA64CC" w:rsidP="00DA64CC">
      <w:pPr>
        <w:pStyle w:val="Heading3"/>
        <w:rPr>
          <w:rFonts w:ascii="Copperplate Gothic Bold" w:hAnsi="Copperplate Gothic Bold"/>
          <w:color w:val="4C94D8" w:themeColor="text2" w:themeTint="80"/>
          <w:sz w:val="24"/>
          <w:szCs w:val="24"/>
        </w:rPr>
      </w:pPr>
      <w:r>
        <w:rPr>
          <w:rFonts w:ascii="Copperplate Gothic Bold" w:hAnsi="Copperplate Gothic Bold"/>
          <w:color w:val="4C94D8" w:themeColor="text2" w:themeTint="80"/>
          <w:sz w:val="24"/>
          <w:szCs w:val="24"/>
        </w:rPr>
        <w:t>Discounts</w:t>
      </w:r>
    </w:p>
    <w:p w14:paraId="1160752C" w14:textId="77777777" w:rsidR="00DA64CC" w:rsidRPr="00DA64CC" w:rsidRDefault="00DA64CC" w:rsidP="00DA64CC"/>
    <w:p w14:paraId="0EE60915" w14:textId="77777777" w:rsidR="00302D6E" w:rsidRDefault="00302D6E" w:rsidP="00302D6E">
      <w:pPr>
        <w:ind w:left="720"/>
      </w:pPr>
      <w:r>
        <w:t>The user defined Override dropdown list is used to give a reason for the amount reduction of the billed line item.</w:t>
      </w:r>
    </w:p>
    <w:p w14:paraId="29F71EA1" w14:textId="77777777" w:rsidR="00302D6E" w:rsidRPr="007F47E4" w:rsidRDefault="00302D6E" w:rsidP="00302D6E">
      <w:pPr>
        <w:ind w:left="720"/>
      </w:pPr>
    </w:p>
    <w:p w14:paraId="085EE294" w14:textId="77777777" w:rsidR="00302D6E" w:rsidRDefault="00302D6E" w:rsidP="00302D6E">
      <w:pPr>
        <w:spacing w:after="160" w:line="259" w:lineRule="auto"/>
        <w:ind w:left="720"/>
        <w:jc w:val="left"/>
      </w:pPr>
      <w:r>
        <w:rPr>
          <w:noProof/>
        </w:rPr>
        <w:drawing>
          <wp:inline distT="0" distB="0" distL="0" distR="0" wp14:anchorId="5EED32EB" wp14:editId="4CC750B7">
            <wp:extent cx="5943600" cy="4156710"/>
            <wp:effectExtent l="0" t="0" r="0" b="0"/>
            <wp:docPr id="2324657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65748" name="Picture 1" descr="A screenshot of a computer&#10;&#10;Description automatically generated"/>
                    <pic:cNvPicPr/>
                  </pic:nvPicPr>
                  <pic:blipFill>
                    <a:blip r:embed="rId9"/>
                    <a:stretch>
                      <a:fillRect/>
                    </a:stretch>
                  </pic:blipFill>
                  <pic:spPr>
                    <a:xfrm>
                      <a:off x="0" y="0"/>
                      <a:ext cx="5943600" cy="4156710"/>
                    </a:xfrm>
                    <a:prstGeom prst="rect">
                      <a:avLst/>
                    </a:prstGeom>
                  </pic:spPr>
                </pic:pic>
              </a:graphicData>
            </a:graphic>
          </wp:inline>
        </w:drawing>
      </w:r>
    </w:p>
    <w:p w14:paraId="3B27044F" w14:textId="77777777" w:rsidR="00302D6E" w:rsidRDefault="00302D6E" w:rsidP="00302D6E">
      <w:pPr>
        <w:spacing w:after="160" w:line="259" w:lineRule="auto"/>
        <w:ind w:left="720"/>
        <w:jc w:val="left"/>
      </w:pPr>
      <w:r>
        <w:t xml:space="preserve"> Optionally, if a list of codes </w:t>
      </w:r>
      <w:proofErr w:type="gramStart"/>
      <w:r>
        <w:t>are</w:t>
      </w:r>
      <w:proofErr w:type="gramEnd"/>
      <w:r>
        <w:t xml:space="preserve"> provided to </w:t>
      </w:r>
      <w:proofErr w:type="gramStart"/>
      <w:r>
        <w:t>ATS,  then</w:t>
      </w:r>
      <w:proofErr w:type="gramEnd"/>
      <w:r>
        <w:t xml:space="preserve"> these </w:t>
      </w:r>
      <w:proofErr w:type="gramStart"/>
      <w:r>
        <w:t>line item</w:t>
      </w:r>
      <w:proofErr w:type="gramEnd"/>
      <w:r>
        <w:t xml:space="preserve"> discount fields can be added to the payment screen.  These fields will not appear on the screen otherwise.</w:t>
      </w:r>
    </w:p>
    <w:p w14:paraId="62DD1B8C" w14:textId="77777777" w:rsidR="00302D6E" w:rsidRDefault="00302D6E" w:rsidP="00302D6E">
      <w:pPr>
        <w:spacing w:after="160" w:line="259" w:lineRule="auto"/>
        <w:ind w:left="720"/>
        <w:jc w:val="left"/>
      </w:pPr>
      <w:r>
        <w:rPr>
          <w:noProof/>
        </w:rPr>
        <w:drawing>
          <wp:inline distT="0" distB="0" distL="0" distR="0" wp14:anchorId="1570532D" wp14:editId="577163D8">
            <wp:extent cx="9577388" cy="2861961"/>
            <wp:effectExtent l="0" t="0" r="5080" b="0"/>
            <wp:docPr id="5433529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52971" name="Picture 1" descr="A screenshot of a computer&#10;&#10;AI-generated content may be incorrect."/>
                    <pic:cNvPicPr/>
                  </pic:nvPicPr>
                  <pic:blipFill>
                    <a:blip r:embed="rId10"/>
                    <a:stretch>
                      <a:fillRect/>
                    </a:stretch>
                  </pic:blipFill>
                  <pic:spPr>
                    <a:xfrm>
                      <a:off x="0" y="0"/>
                      <a:ext cx="9594692" cy="2867132"/>
                    </a:xfrm>
                    <a:prstGeom prst="rect">
                      <a:avLst/>
                    </a:prstGeom>
                  </pic:spPr>
                </pic:pic>
              </a:graphicData>
            </a:graphic>
          </wp:inline>
        </w:drawing>
      </w:r>
    </w:p>
    <w:p w14:paraId="5776A353" w14:textId="77777777" w:rsidR="00302D6E" w:rsidRDefault="00302D6E" w:rsidP="00302D6E">
      <w:pPr>
        <w:spacing w:after="160" w:line="259" w:lineRule="auto"/>
        <w:jc w:val="left"/>
      </w:pPr>
      <w:r>
        <w:br w:type="page"/>
      </w:r>
    </w:p>
    <w:p w14:paraId="7D647C58" w14:textId="2D9C7CF2" w:rsidR="00302D6E" w:rsidRDefault="00DA64CC" w:rsidP="00302D6E">
      <w:pPr>
        <w:pStyle w:val="Heading3"/>
      </w:pPr>
      <w:r>
        <w:rPr>
          <w:rFonts w:ascii="Copperplate Gothic Bold" w:hAnsi="Copperplate Gothic Bold"/>
          <w:color w:val="4C94D8" w:themeColor="text2" w:themeTint="80"/>
          <w:sz w:val="24"/>
          <w:szCs w:val="24"/>
        </w:rPr>
        <w:t>C-8.4/C-8.1</w:t>
      </w:r>
    </w:p>
    <w:p w14:paraId="130329F7" w14:textId="77777777" w:rsidR="00302D6E" w:rsidRDefault="00302D6E" w:rsidP="00302D6E">
      <w:pPr>
        <w:spacing w:after="160" w:line="259" w:lineRule="auto"/>
        <w:ind w:left="720"/>
        <w:jc w:val="left"/>
      </w:pPr>
      <w:r>
        <w:t xml:space="preserve">For NY an optional screen will be available to enter data for the forms C-8.4 and C-8. </w:t>
      </w:r>
    </w:p>
    <w:p w14:paraId="7B6DB514" w14:textId="77777777" w:rsidR="00302D6E" w:rsidRDefault="00302D6E" w:rsidP="00302D6E">
      <w:pPr>
        <w:spacing w:after="160" w:line="259" w:lineRule="auto"/>
        <w:ind w:left="720"/>
        <w:jc w:val="left"/>
      </w:pPr>
      <w:r>
        <w:rPr>
          <w:noProof/>
        </w:rPr>
        <w:drawing>
          <wp:inline distT="0" distB="0" distL="0" distR="0" wp14:anchorId="04637DDA" wp14:editId="4AEC1307">
            <wp:extent cx="10553700" cy="16112141"/>
            <wp:effectExtent l="0" t="0" r="0" b="4445"/>
            <wp:docPr id="11062984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298437" name="Picture 1" descr="A screenshot of a computer&#10;&#10;Description automatically generated"/>
                    <pic:cNvPicPr/>
                  </pic:nvPicPr>
                  <pic:blipFill>
                    <a:blip r:embed="rId11"/>
                    <a:stretch>
                      <a:fillRect/>
                    </a:stretch>
                  </pic:blipFill>
                  <pic:spPr>
                    <a:xfrm>
                      <a:off x="0" y="0"/>
                      <a:ext cx="10602048" cy="16185952"/>
                    </a:xfrm>
                    <a:prstGeom prst="rect">
                      <a:avLst/>
                    </a:prstGeom>
                  </pic:spPr>
                </pic:pic>
              </a:graphicData>
            </a:graphic>
          </wp:inline>
        </w:drawing>
      </w:r>
    </w:p>
    <w:p w14:paraId="0DD00F6B" w14:textId="77777777" w:rsidR="00116536" w:rsidRDefault="00302D6E" w:rsidP="00302D6E">
      <w:pPr>
        <w:pStyle w:val="Heading3"/>
      </w:pPr>
      <w:r>
        <w:br w:type="page"/>
      </w:r>
    </w:p>
    <w:p w14:paraId="3AC8C3FD" w14:textId="44BFD15F" w:rsidR="00302D6E" w:rsidRDefault="00551CA5" w:rsidP="00302D6E">
      <w:pPr>
        <w:pStyle w:val="Heading3"/>
      </w:pPr>
      <w:r>
        <w:rPr>
          <w:rFonts w:ascii="Copperplate Gothic Bold" w:hAnsi="Copperplate Gothic Bold"/>
          <w:color w:val="4C94D8" w:themeColor="text2" w:themeTint="80"/>
          <w:sz w:val="24"/>
          <w:szCs w:val="24"/>
        </w:rPr>
        <w:t>Fee Reduction</w:t>
      </w:r>
    </w:p>
    <w:p w14:paraId="4313A756" w14:textId="77777777" w:rsidR="00302D6E" w:rsidRDefault="00302D6E" w:rsidP="00302D6E">
      <w:pPr>
        <w:spacing w:before="240" w:after="200"/>
        <w:ind w:left="720"/>
      </w:pPr>
      <w:r>
        <w:t>The record of the vendor being paid</w:t>
      </w:r>
      <w:r>
        <w:fldChar w:fldCharType="begin"/>
      </w:r>
      <w:r>
        <w:instrText xml:space="preserve"> XE "vendor" </w:instrText>
      </w:r>
      <w:r>
        <w:fldChar w:fldCharType="end"/>
      </w:r>
      <w:r>
        <w:t xml:space="preserve"> will be checked for optional HMO/PPO</w:t>
      </w:r>
      <w:r>
        <w:fldChar w:fldCharType="begin"/>
      </w:r>
      <w:r>
        <w:instrText xml:space="preserve"> XE "</w:instrText>
      </w:r>
      <w:r>
        <w:rPr>
          <w:rFonts w:ascii="Arial" w:hAnsi="Arial" w:cs="Arial"/>
          <w:sz w:val="20"/>
          <w:szCs w:val="20"/>
        </w:rPr>
        <w:instrText>HMO/PPO</w:instrText>
      </w:r>
      <w:r>
        <w:instrText xml:space="preserve">" </w:instrText>
      </w:r>
      <w:r>
        <w:fldChar w:fldCharType="end"/>
      </w:r>
      <w:r>
        <w:t xml:space="preserve"> from/thru dates that cover the service dates in the payment</w:t>
      </w:r>
      <w:r>
        <w:fldChar w:fldCharType="begin"/>
      </w:r>
      <w:r>
        <w:instrText xml:space="preserve"> XE "payment" </w:instrText>
      </w:r>
      <w:r>
        <w:fldChar w:fldCharType="end"/>
      </w:r>
      <w:r>
        <w:t xml:space="preserve"> record.  If found, it will use the HMO/ PPO’s record for the allowed amount rate. If </w:t>
      </w:r>
      <w:proofErr w:type="gramStart"/>
      <w:r>
        <w:t>no</w:t>
      </w:r>
      <w:proofErr w:type="gramEnd"/>
      <w:r>
        <w:t xml:space="preserve"> HMO/PPO, then the optional UCR percentile for the vendor</w:t>
      </w:r>
      <w:r>
        <w:fldChar w:fldCharType="begin"/>
      </w:r>
      <w:r>
        <w:instrText xml:space="preserve"> XE "vendor" </w:instrText>
      </w:r>
      <w:r>
        <w:fldChar w:fldCharType="end"/>
      </w:r>
      <w:r>
        <w:t xml:space="preserve">’s zip code is checked.   </w:t>
      </w:r>
    </w:p>
    <w:p w14:paraId="640773B1" w14:textId="77777777" w:rsidR="00302D6E" w:rsidRDefault="00302D6E" w:rsidP="00302D6E">
      <w:pPr>
        <w:spacing w:before="240" w:after="200"/>
        <w:ind w:left="720"/>
      </w:pPr>
      <w:r>
        <w:t>3.</w:t>
      </w:r>
      <w:r>
        <w:tab/>
        <w:t xml:space="preserve">If the Override State flag has been set with the Module Parameters menu, the program will calculate the amount of the line item using </w:t>
      </w:r>
      <w:proofErr w:type="gramStart"/>
      <w:r>
        <w:t>both of the above</w:t>
      </w:r>
      <w:proofErr w:type="gramEnd"/>
      <w:r>
        <w:t xml:space="preserve"> methods and display whichever amount is lower. </w:t>
      </w:r>
    </w:p>
    <w:p w14:paraId="0CEE4B42" w14:textId="77777777" w:rsidR="00302D6E" w:rsidRPr="00D56D89" w:rsidRDefault="00302D6E" w:rsidP="00302D6E">
      <w:pPr>
        <w:ind w:left="360"/>
      </w:pPr>
      <w:r>
        <w:tab/>
      </w:r>
      <w:r>
        <w:rPr>
          <w:noProof/>
        </w:rPr>
        <w:drawing>
          <wp:inline distT="0" distB="0" distL="0" distR="0" wp14:anchorId="60A27025" wp14:editId="3633555D">
            <wp:extent cx="11229975" cy="4926312"/>
            <wp:effectExtent l="0" t="0" r="0" b="8255"/>
            <wp:docPr id="3908251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25195" name="Picture 1" descr="A screenshot of a computer&#10;&#10;Description automatically generated"/>
                    <pic:cNvPicPr/>
                  </pic:nvPicPr>
                  <pic:blipFill>
                    <a:blip r:embed="rId12"/>
                    <a:stretch>
                      <a:fillRect/>
                    </a:stretch>
                  </pic:blipFill>
                  <pic:spPr>
                    <a:xfrm>
                      <a:off x="0" y="0"/>
                      <a:ext cx="11244856" cy="4932840"/>
                    </a:xfrm>
                    <a:prstGeom prst="rect">
                      <a:avLst/>
                    </a:prstGeom>
                  </pic:spPr>
                </pic:pic>
              </a:graphicData>
            </a:graphic>
          </wp:inline>
        </w:drawing>
      </w:r>
    </w:p>
    <w:p w14:paraId="2CC9E36B" w14:textId="77777777" w:rsidR="00302D6E" w:rsidRDefault="00302D6E" w:rsidP="00302D6E">
      <w:pPr>
        <w:spacing w:before="240" w:after="200"/>
        <w:ind w:left="720"/>
      </w:pPr>
      <w:r>
        <w:t xml:space="preserve">When this optional feature is in use, the program will check for mutually exclusive procedures (e.g. 27177 and 11010) that are not allowed on the same bill. It will also look for major or comprehensive procedures that consist of </w:t>
      </w:r>
      <w:proofErr w:type="gramStart"/>
      <w:r>
        <w:t>a number of</w:t>
      </w:r>
      <w:proofErr w:type="gramEnd"/>
      <w:r>
        <w:t xml:space="preserve"> individual components or procedures. For example, the CPT</w:t>
      </w:r>
      <w:r>
        <w:fldChar w:fldCharType="begin"/>
      </w:r>
      <w:r>
        <w:instrText xml:space="preserve"> XE "</w:instrText>
      </w:r>
      <w:r>
        <w:rPr>
          <w:rFonts w:ascii="Arial" w:hAnsi="Arial" w:cs="Arial"/>
          <w:sz w:val="20"/>
          <w:szCs w:val="20"/>
        </w:rPr>
        <w:instrText>CPT</w:instrText>
      </w:r>
      <w:r>
        <w:instrText xml:space="preserve">" </w:instrText>
      </w:r>
      <w:r>
        <w:fldChar w:fldCharType="end"/>
      </w:r>
      <w:r>
        <w:t xml:space="preserve"> code 31505 (</w:t>
      </w:r>
      <w:proofErr w:type="spellStart"/>
      <w:r>
        <w:t>larynoscopy</w:t>
      </w:r>
      <w:proofErr w:type="spellEnd"/>
      <w:r>
        <w:t xml:space="preserve"> diagnostic) consists of many other procedures, one of which is 36000 (microsurgery add-on). If both are on the same bill, the program will detect that the "code 36000 is part of the comprehensive procedure code 31505" and enter ZERO in the accepted amount for line 36000. </w:t>
      </w:r>
      <w:r>
        <w:fldChar w:fldCharType="begin"/>
      </w:r>
      <w:r>
        <w:instrText xml:space="preserve"> XE "Fee Schedules" </w:instrText>
      </w:r>
      <w:r>
        <w:fldChar w:fldCharType="end"/>
      </w:r>
    </w:p>
    <w:p w14:paraId="58263B70" w14:textId="77777777" w:rsidR="00302D6E" w:rsidRDefault="00302D6E" w:rsidP="00302D6E">
      <w:pPr>
        <w:spacing w:before="240" w:after="200"/>
        <w:ind w:left="720"/>
      </w:pPr>
      <w:r>
        <w:t>The ATS system supports multiple fee schedules</w:t>
      </w:r>
      <w:r>
        <w:fldChar w:fldCharType="begin"/>
      </w:r>
      <w:r>
        <w:instrText xml:space="preserve"> XE "fee schedules" </w:instrText>
      </w:r>
      <w:r>
        <w:fldChar w:fldCharType="end"/>
      </w:r>
      <w:r>
        <w:t>; federal (DOL), state, and the usual and customary reimbursement (UCR</w:t>
      </w:r>
      <w:r>
        <w:fldChar w:fldCharType="begin"/>
      </w:r>
      <w:r>
        <w:instrText xml:space="preserve"> XE "UCR" </w:instrText>
      </w:r>
      <w:r>
        <w:fldChar w:fldCharType="end"/>
      </w:r>
      <w:r>
        <w:t xml:space="preserve">) schedule. In that case, the program will display the amounts in the different schedules so the user can </w:t>
      </w:r>
      <w:proofErr w:type="gramStart"/>
      <w:r>
        <w:t>make a selection</w:t>
      </w:r>
      <w:proofErr w:type="gramEnd"/>
      <w:r>
        <w:t>.</w:t>
      </w:r>
    </w:p>
    <w:p w14:paraId="4DC32109" w14:textId="77777777" w:rsidR="00302D6E" w:rsidRDefault="00302D6E" w:rsidP="00302D6E">
      <w:pPr>
        <w:tabs>
          <w:tab w:val="left" w:pos="2677"/>
        </w:tabs>
        <w:spacing w:before="240" w:after="200"/>
        <w:ind w:left="720"/>
      </w:pPr>
      <w:r>
        <w:t>Discounts and/or custom fee schedules</w:t>
      </w:r>
      <w:r>
        <w:fldChar w:fldCharType="begin"/>
      </w:r>
      <w:r>
        <w:instrText xml:space="preserve"> XE "fee schedules" </w:instrText>
      </w:r>
      <w:r>
        <w:fldChar w:fldCharType="end"/>
      </w:r>
      <w:r>
        <w:t xml:space="preserve"> can also be </w:t>
      </w:r>
      <w:proofErr w:type="gramStart"/>
      <w:r>
        <w:t>setup</w:t>
      </w:r>
      <w:proofErr w:type="gramEnd"/>
      <w:r>
        <w:t xml:space="preserve"> for specific vendors. (Without this ability to use custom schedules, invoices for vendors that use their own service codes could not be reviewed.) After custom schedules have been </w:t>
      </w:r>
      <w:proofErr w:type="gramStart"/>
      <w:r>
        <w:t>setup</w:t>
      </w:r>
      <w:proofErr w:type="gramEnd"/>
      <w:r>
        <w:t>, their use is transparent during data entry unless the code on the invoice is found in multiple schedules.</w:t>
      </w:r>
    </w:p>
    <w:p w14:paraId="49969A3D" w14:textId="77777777" w:rsidR="00302D6E" w:rsidRDefault="00302D6E" w:rsidP="00302D6E">
      <w:pPr>
        <w:spacing w:after="160" w:line="259" w:lineRule="auto"/>
        <w:ind w:left="360"/>
        <w:jc w:val="left"/>
      </w:pPr>
      <w:r>
        <w:br w:type="page"/>
      </w:r>
    </w:p>
    <w:p w14:paraId="31A7E536" w14:textId="0BF92945" w:rsidR="00302D6E" w:rsidRDefault="00551CA5" w:rsidP="00302D6E">
      <w:pPr>
        <w:pStyle w:val="Heading3"/>
      </w:pPr>
      <w:bookmarkStart w:id="2" w:name="_Toc17795879"/>
      <w:r>
        <w:rPr>
          <w:rFonts w:ascii="Copperplate Gothic Bold" w:hAnsi="Copperplate Gothic Bold"/>
          <w:color w:val="4C94D8" w:themeColor="text2" w:themeTint="80"/>
          <w:sz w:val="24"/>
          <w:szCs w:val="24"/>
        </w:rPr>
        <w:t>Saving the Record</w:t>
      </w:r>
      <w:bookmarkEnd w:id="2"/>
    </w:p>
    <w:p w14:paraId="1111144C" w14:textId="2F9909E7" w:rsidR="00302D6E" w:rsidRDefault="00BB100A" w:rsidP="00302D6E">
      <w:pPr>
        <w:spacing w:before="240" w:after="200"/>
        <w:ind w:left="720"/>
      </w:pPr>
      <w:r>
        <w:t xml:space="preserve">During the </w:t>
      </w:r>
      <w:proofErr w:type="gramStart"/>
      <w:r>
        <w:t>save</w:t>
      </w:r>
      <w:proofErr w:type="gramEnd"/>
      <w:r>
        <w:t xml:space="preserve"> process,</w:t>
      </w:r>
      <w:r w:rsidR="00302D6E">
        <w:t xml:space="preserve"> future medical reserves</w:t>
      </w:r>
      <w:r w:rsidR="00302D6E">
        <w:fldChar w:fldCharType="begin"/>
      </w:r>
      <w:r w:rsidR="00302D6E">
        <w:instrText xml:space="preserve"> XE "reserves" </w:instrText>
      </w:r>
      <w:r w:rsidR="00302D6E">
        <w:fldChar w:fldCharType="end"/>
      </w:r>
      <w:r w:rsidR="00302D6E">
        <w:t xml:space="preserve"> will</w:t>
      </w:r>
      <w:r>
        <w:t xml:space="preserve"> be verified</w:t>
      </w:r>
      <w:r w:rsidR="00302D6E">
        <w:fldChar w:fldCharType="begin"/>
      </w:r>
      <w:r w:rsidR="00302D6E">
        <w:instrText xml:space="preserve"> XE "payment" </w:instrText>
      </w:r>
      <w:r w:rsidR="00302D6E">
        <w:fldChar w:fldCharType="end"/>
      </w:r>
      <w:r w:rsidR="00302D6E">
        <w:t>. If the futures are not enough, the program will check the Negative Reserves</w:t>
      </w:r>
      <w:r w:rsidR="00302D6E">
        <w:fldChar w:fldCharType="begin"/>
      </w:r>
      <w:r w:rsidR="00302D6E">
        <w:instrText xml:space="preserve"> XE "Reserves" </w:instrText>
      </w:r>
      <w:r w:rsidR="00302D6E">
        <w:fldChar w:fldCharType="end"/>
      </w:r>
      <w:r w:rsidR="00302D6E">
        <w:t xml:space="preserve"> value set with the Module Parameters menu.</w:t>
      </w:r>
    </w:p>
    <w:p w14:paraId="57446C9E" w14:textId="2360F67C" w:rsidR="00302D6E" w:rsidRDefault="00302D6E" w:rsidP="00302D6E">
      <w:pPr>
        <w:spacing w:before="240" w:after="200"/>
        <w:ind w:left="720"/>
      </w:pPr>
      <w:r>
        <w:t>If the Negative Reserves</w:t>
      </w:r>
      <w:r>
        <w:fldChar w:fldCharType="begin"/>
      </w:r>
      <w:r>
        <w:instrText xml:space="preserve"> XE "Reserves" </w:instrText>
      </w:r>
      <w:r>
        <w:fldChar w:fldCharType="end"/>
      </w:r>
      <w:r>
        <w:t xml:space="preserve"> </w:t>
      </w:r>
      <w:r w:rsidR="00BB100A">
        <w:t>check box is set</w:t>
      </w:r>
      <w:r>
        <w:t xml:space="preserve">, </w:t>
      </w:r>
      <w:r w:rsidR="00BB100A">
        <w:t xml:space="preserve">then </w:t>
      </w:r>
      <w:r>
        <w:t xml:space="preserve">the </w:t>
      </w:r>
      <w:r w:rsidR="00BB100A">
        <w:t>payment entry</w:t>
      </w:r>
      <w:r>
        <w:t xml:space="preserve"> is allowed and the future reserves</w:t>
      </w:r>
      <w:r>
        <w:fldChar w:fldCharType="begin"/>
      </w:r>
      <w:r>
        <w:instrText xml:space="preserve"> XE "reserves" </w:instrText>
      </w:r>
      <w:r>
        <w:fldChar w:fldCharType="end"/>
      </w:r>
      <w:r>
        <w:t xml:space="preserve"> in the claim will become negative</w:t>
      </w:r>
      <w:r w:rsidR="00BB100A">
        <w:t>, which is not how systems are typically opted to set up</w:t>
      </w:r>
      <w:r>
        <w:t xml:space="preserve">. </w:t>
      </w:r>
      <w:r w:rsidR="00BB100A">
        <w:t xml:space="preserve"> </w:t>
      </w:r>
      <w:r>
        <w:t xml:space="preserve">If the </w:t>
      </w:r>
      <w:r w:rsidR="00BB100A">
        <w:t>check box is not set,</w:t>
      </w:r>
      <w:r>
        <w:t xml:space="preserve"> </w:t>
      </w:r>
      <w:r w:rsidR="00BB100A">
        <w:t xml:space="preserve">then </w:t>
      </w:r>
      <w:r>
        <w:t>the program will check the Stair Step Reserves</w:t>
      </w:r>
      <w:r>
        <w:fldChar w:fldCharType="begin"/>
      </w:r>
      <w:r>
        <w:instrText xml:space="preserve"> XE "Stair Step Reserves" </w:instrText>
      </w:r>
      <w:r>
        <w:fldChar w:fldCharType="end"/>
      </w:r>
      <w:r>
        <w:t xml:space="preserve"> value that was set using the Application Parameters</w:t>
      </w:r>
      <w:r>
        <w:fldChar w:fldCharType="begin"/>
      </w:r>
      <w:r>
        <w:instrText xml:space="preserve"> XE "Application Parameters" </w:instrText>
      </w:r>
      <w:r>
        <w:fldChar w:fldCharType="end"/>
      </w:r>
      <w:r>
        <w:t xml:space="preserve"> screen.</w:t>
      </w:r>
    </w:p>
    <w:p w14:paraId="7707CE66" w14:textId="545A9FFB" w:rsidR="00302D6E" w:rsidRDefault="00302D6E" w:rsidP="00302D6E">
      <w:pPr>
        <w:spacing w:before="240" w:after="200"/>
        <w:ind w:left="720"/>
      </w:pPr>
      <w:r>
        <w:t>If the Stair Step Reserves</w:t>
      </w:r>
      <w:r>
        <w:fldChar w:fldCharType="begin"/>
      </w:r>
      <w:r>
        <w:instrText xml:space="preserve"> XE "Reserves" </w:instrText>
      </w:r>
      <w:r>
        <w:fldChar w:fldCharType="end"/>
      </w:r>
      <w:r>
        <w:t xml:space="preserve"> value is </w:t>
      </w:r>
      <w:r w:rsidR="00BB100A">
        <w:t>set to ALL or Closed Claims Only for a closed claim,</w:t>
      </w:r>
      <w:r>
        <w:t xml:space="preserve"> the</w:t>
      </w:r>
      <w:r w:rsidR="00BB100A">
        <w:t>n the</w:t>
      </w:r>
      <w:r>
        <w:t xml:space="preserve"> </w:t>
      </w:r>
      <w:r w:rsidR="00BB100A">
        <w:t>amount incurred</w:t>
      </w:r>
      <w:r>
        <w:t xml:space="preserve"> in the claim will automatically be increased to cover the payment</w:t>
      </w:r>
      <w:r>
        <w:fldChar w:fldCharType="begin"/>
      </w:r>
      <w:r>
        <w:instrText xml:space="preserve"> XE "payment" </w:instrText>
      </w:r>
      <w:r>
        <w:fldChar w:fldCharType="end"/>
      </w:r>
      <w:r>
        <w:t>. Otherwise, the button next to the Future Reserves field on the payment screen can be used to increase the reserves</w:t>
      </w:r>
      <w:r>
        <w:fldChar w:fldCharType="begin"/>
      </w:r>
      <w:r>
        <w:instrText xml:space="preserve"> XE "reserves" </w:instrText>
      </w:r>
      <w:r>
        <w:fldChar w:fldCharType="end"/>
      </w:r>
      <w:r>
        <w:t>. All changes depend on the operator's reserve limit.</w:t>
      </w:r>
    </w:p>
    <w:p w14:paraId="108F828E" w14:textId="77777777" w:rsidR="00302D6E" w:rsidRDefault="00302D6E" w:rsidP="00302D6E">
      <w:pPr>
        <w:spacing w:before="240" w:after="200"/>
        <w:ind w:left="720"/>
      </w:pPr>
      <w:r>
        <w:t>The field labeled Mode determines if the payment will be batched, notated to check history or left on hold to be finished in the future.  Although if batch or notate are selected and the payment amount is over the operator’s limit then the payment</w:t>
      </w:r>
      <w:r>
        <w:fldChar w:fldCharType="begin"/>
      </w:r>
      <w:r>
        <w:instrText xml:space="preserve"> XE "payment" </w:instrText>
      </w:r>
      <w:r>
        <w:fldChar w:fldCharType="end"/>
      </w:r>
      <w:r>
        <w:t xml:space="preserve"> will be pended.  Pended payments must be released by a user with authority to do so using the Batched Edit</w:t>
      </w:r>
      <w:r>
        <w:fldChar w:fldCharType="begin"/>
      </w:r>
      <w:r>
        <w:instrText xml:space="preserve"> XE "Batched Payments" </w:instrText>
      </w:r>
      <w:r>
        <w:fldChar w:fldCharType="end"/>
      </w:r>
      <w:r>
        <w:t xml:space="preserve"> selection from the Process menu.</w:t>
      </w:r>
    </w:p>
    <w:p w14:paraId="31E98E93" w14:textId="41F4A0FD" w:rsidR="00EA25B0" w:rsidRDefault="00FA2190" w:rsidP="00302D6E">
      <w:pPr>
        <w:spacing w:before="240" w:after="200"/>
        <w:ind w:left="720"/>
      </w:pPr>
      <w:r>
        <w:rPr>
          <w:noProof/>
          <w14:ligatures w14:val="standardContextual"/>
        </w:rPr>
        <w:drawing>
          <wp:inline distT="0" distB="0" distL="0" distR="0" wp14:anchorId="60D0F38F" wp14:editId="4BA6CEE3">
            <wp:extent cx="5774575" cy="3065910"/>
            <wp:effectExtent l="0" t="0" r="0" b="1270"/>
            <wp:docPr id="710802539"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02539" name="Picture 1" descr="A screenshot of a computer screen&#10;&#10;AI-generated content may be incorrect."/>
                    <pic:cNvPicPr/>
                  </pic:nvPicPr>
                  <pic:blipFill>
                    <a:blip r:embed="rId13"/>
                    <a:stretch>
                      <a:fillRect/>
                    </a:stretch>
                  </pic:blipFill>
                  <pic:spPr>
                    <a:xfrm>
                      <a:off x="0" y="0"/>
                      <a:ext cx="5779210" cy="3068371"/>
                    </a:xfrm>
                    <a:prstGeom prst="rect">
                      <a:avLst/>
                    </a:prstGeom>
                  </pic:spPr>
                </pic:pic>
              </a:graphicData>
            </a:graphic>
          </wp:inline>
        </w:drawing>
      </w:r>
    </w:p>
    <w:p w14:paraId="1A3C2F0E" w14:textId="77777777" w:rsidR="00FA2190" w:rsidRDefault="00FA2190" w:rsidP="00302D6E">
      <w:pPr>
        <w:spacing w:before="240" w:after="200"/>
        <w:ind w:left="720"/>
      </w:pPr>
    </w:p>
    <w:p w14:paraId="2DF5C7F3" w14:textId="0409A59D" w:rsidR="00FA2190" w:rsidRPr="00FA2190" w:rsidRDefault="00FA2190" w:rsidP="00302D6E">
      <w:pPr>
        <w:spacing w:before="240" w:after="200"/>
        <w:ind w:left="720"/>
        <w:rPr>
          <w:color w:val="4C94D8" w:themeColor="text2" w:themeTint="80"/>
        </w:rPr>
      </w:pPr>
      <w:r>
        <w:t xml:space="preserve">If the payment is put on hold, it can be accessed from the </w:t>
      </w:r>
      <w:r w:rsidRPr="00FA2190">
        <w:rPr>
          <w:color w:val="4C94D8" w:themeColor="text2" w:themeTint="80"/>
        </w:rPr>
        <w:t>Medical Payments on Hold</w:t>
      </w:r>
      <w:r w:rsidRPr="00FA2190">
        <w:t xml:space="preserve"> </w:t>
      </w:r>
      <w:r>
        <w:t xml:space="preserve">option on the claim screen or from the </w:t>
      </w:r>
      <w:proofErr w:type="spellStart"/>
      <w:r w:rsidRPr="00FA2190">
        <w:rPr>
          <w:color w:val="4C94D8" w:themeColor="text2" w:themeTint="80"/>
        </w:rPr>
        <w:t>Medfee</w:t>
      </w:r>
      <w:proofErr w:type="spellEnd"/>
      <w:r w:rsidRPr="00FA2190">
        <w:rPr>
          <w:color w:val="4C94D8" w:themeColor="text2" w:themeTint="80"/>
        </w:rPr>
        <w:t xml:space="preserve"> on Hold</w:t>
      </w:r>
      <w:r>
        <w:t xml:space="preserve"> option from the ATS Process menu.</w:t>
      </w:r>
    </w:p>
    <w:p w14:paraId="3507EF91" w14:textId="08D3EBB5" w:rsidR="00EA25B0" w:rsidRDefault="00EA25B0" w:rsidP="00302D6E">
      <w:pPr>
        <w:spacing w:before="240" w:after="200"/>
        <w:ind w:left="720"/>
      </w:pPr>
      <w:r>
        <w:rPr>
          <w:noProof/>
        </w:rPr>
        <w:drawing>
          <wp:inline distT="0" distB="0" distL="0" distR="0" wp14:anchorId="28CA57BF" wp14:editId="73CFE011">
            <wp:extent cx="4726940" cy="2576830"/>
            <wp:effectExtent l="0" t="0" r="0" b="0"/>
            <wp:docPr id="13667619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6940" cy="2576830"/>
                    </a:xfrm>
                    <a:prstGeom prst="rect">
                      <a:avLst/>
                    </a:prstGeom>
                    <a:noFill/>
                    <a:ln>
                      <a:noFill/>
                    </a:ln>
                  </pic:spPr>
                </pic:pic>
              </a:graphicData>
            </a:graphic>
          </wp:inline>
        </w:drawing>
      </w:r>
    </w:p>
    <w:p w14:paraId="0C75F8A9" w14:textId="77777777" w:rsidR="00EA25B0" w:rsidRDefault="00EA25B0" w:rsidP="00302D6E">
      <w:pPr>
        <w:spacing w:before="240" w:after="200"/>
        <w:ind w:left="720"/>
      </w:pPr>
    </w:p>
    <w:p w14:paraId="6C9041E0" w14:textId="77777777" w:rsidR="00302D6E" w:rsidRDefault="00302D6E" w:rsidP="00302D6E">
      <w:pPr>
        <w:spacing w:before="240" w:after="200"/>
        <w:ind w:left="720"/>
      </w:pPr>
      <w:r>
        <w:rPr>
          <w:noProof/>
        </w:rPr>
        <w:drawing>
          <wp:inline distT="0" distB="0" distL="0" distR="0" wp14:anchorId="2716DAB1" wp14:editId="2175B8B5">
            <wp:extent cx="11004151" cy="1028700"/>
            <wp:effectExtent l="0" t="0" r="6985" b="0"/>
            <wp:docPr id="138479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9168" name=""/>
                    <pic:cNvPicPr/>
                  </pic:nvPicPr>
                  <pic:blipFill>
                    <a:blip r:embed="rId15"/>
                    <a:stretch>
                      <a:fillRect/>
                    </a:stretch>
                  </pic:blipFill>
                  <pic:spPr>
                    <a:xfrm>
                      <a:off x="0" y="0"/>
                      <a:ext cx="11009587" cy="1029208"/>
                    </a:xfrm>
                    <a:prstGeom prst="rect">
                      <a:avLst/>
                    </a:prstGeom>
                  </pic:spPr>
                </pic:pic>
              </a:graphicData>
            </a:graphic>
          </wp:inline>
        </w:drawing>
      </w:r>
    </w:p>
    <w:p w14:paraId="753C0DDE" w14:textId="77777777" w:rsidR="00302D6E" w:rsidRDefault="00302D6E" w:rsidP="00302D6E">
      <w:pPr>
        <w:spacing w:before="240" w:after="200"/>
        <w:ind w:left="720"/>
      </w:pPr>
      <w:r>
        <w:rPr>
          <w:noProof/>
        </w:rPr>
        <w:drawing>
          <wp:inline distT="0" distB="0" distL="0" distR="0" wp14:anchorId="0250311F" wp14:editId="14226F14">
            <wp:extent cx="6900863" cy="1337409"/>
            <wp:effectExtent l="0" t="0" r="0" b="0"/>
            <wp:docPr id="605899174" name="Picture 1"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99174" name="Picture 1" descr="A blue and white sign&#10;&#10;Description automatically generated"/>
                    <pic:cNvPicPr/>
                  </pic:nvPicPr>
                  <pic:blipFill>
                    <a:blip r:embed="rId16"/>
                    <a:stretch>
                      <a:fillRect/>
                    </a:stretch>
                  </pic:blipFill>
                  <pic:spPr>
                    <a:xfrm>
                      <a:off x="0" y="0"/>
                      <a:ext cx="7053483" cy="1366987"/>
                    </a:xfrm>
                    <a:prstGeom prst="rect">
                      <a:avLst/>
                    </a:prstGeom>
                  </pic:spPr>
                </pic:pic>
              </a:graphicData>
            </a:graphic>
          </wp:inline>
        </w:drawing>
      </w:r>
    </w:p>
    <w:p w14:paraId="6DD925AE" w14:textId="77777777" w:rsidR="00302D6E" w:rsidRDefault="00302D6E" w:rsidP="00302D6E">
      <w:pPr>
        <w:spacing w:before="240" w:after="200"/>
        <w:ind w:left="720"/>
      </w:pPr>
      <w:r>
        <w:rPr>
          <w:noProof/>
        </w:rPr>
        <w:drawing>
          <wp:inline distT="0" distB="0" distL="0" distR="0" wp14:anchorId="189B0A79" wp14:editId="11D2EFFA">
            <wp:extent cx="10605006" cy="842962"/>
            <wp:effectExtent l="0" t="0" r="0" b="0"/>
            <wp:docPr id="1712926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26656" name=""/>
                    <pic:cNvPicPr/>
                  </pic:nvPicPr>
                  <pic:blipFill>
                    <a:blip r:embed="rId17"/>
                    <a:stretch>
                      <a:fillRect/>
                    </a:stretch>
                  </pic:blipFill>
                  <pic:spPr>
                    <a:xfrm>
                      <a:off x="0" y="0"/>
                      <a:ext cx="10645267" cy="846162"/>
                    </a:xfrm>
                    <a:prstGeom prst="rect">
                      <a:avLst/>
                    </a:prstGeom>
                  </pic:spPr>
                </pic:pic>
              </a:graphicData>
            </a:graphic>
          </wp:inline>
        </w:drawing>
      </w:r>
    </w:p>
    <w:p w14:paraId="6FAD8B27" w14:textId="77777777" w:rsidR="00302D6E" w:rsidRDefault="00302D6E" w:rsidP="00302D6E"/>
    <w:p w14:paraId="4309BF07" w14:textId="77777777" w:rsidR="00302D6E" w:rsidRDefault="00302D6E"/>
    <w:sectPr w:rsidR="00302D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D6E"/>
    <w:rsid w:val="00116536"/>
    <w:rsid w:val="00156BC5"/>
    <w:rsid w:val="00262B6C"/>
    <w:rsid w:val="00302D6E"/>
    <w:rsid w:val="003038B7"/>
    <w:rsid w:val="00312C18"/>
    <w:rsid w:val="003938A3"/>
    <w:rsid w:val="00551CA5"/>
    <w:rsid w:val="006F70EB"/>
    <w:rsid w:val="007429CC"/>
    <w:rsid w:val="008939FD"/>
    <w:rsid w:val="00AC5789"/>
    <w:rsid w:val="00BB100A"/>
    <w:rsid w:val="00C1280E"/>
    <w:rsid w:val="00DA64CC"/>
    <w:rsid w:val="00EA25B0"/>
    <w:rsid w:val="00FA21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92164"/>
  <w15:chartTrackingRefBased/>
  <w15:docId w15:val="{0BC2DE5D-BFF3-45A2-BFF9-BA71EBEE5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D6E"/>
    <w:pPr>
      <w:spacing w:after="0" w:line="240" w:lineRule="auto"/>
      <w:jc w:val="both"/>
    </w:pPr>
    <w:rPr>
      <w:rFonts w:ascii="Times New Roman" w:hAnsi="Times New Roman"/>
      <w:kern w:val="0"/>
      <w:szCs w:val="22"/>
      <w14:ligatures w14:val="none"/>
    </w:rPr>
  </w:style>
  <w:style w:type="paragraph" w:styleId="Heading1">
    <w:name w:val="heading 1"/>
    <w:basedOn w:val="Normal"/>
    <w:next w:val="Normal"/>
    <w:link w:val="Heading1Char"/>
    <w:uiPriority w:val="9"/>
    <w:qFormat/>
    <w:rsid w:val="00302D6E"/>
    <w:pPr>
      <w:keepNext/>
      <w:keepLines/>
      <w:spacing w:before="360" w:after="80" w:line="278" w:lineRule="auto"/>
      <w:jc w:val="left"/>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302D6E"/>
    <w:pPr>
      <w:keepNext/>
      <w:keepLines/>
      <w:spacing w:before="160" w:after="80" w:line="278" w:lineRule="auto"/>
      <w:jc w:val="left"/>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unhideWhenUsed/>
    <w:qFormat/>
    <w:rsid w:val="00302D6E"/>
    <w:pPr>
      <w:keepNext/>
      <w:keepLines/>
      <w:spacing w:before="160" w:after="80" w:line="278" w:lineRule="auto"/>
      <w:jc w:val="left"/>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302D6E"/>
    <w:pPr>
      <w:keepNext/>
      <w:keepLines/>
      <w:spacing w:before="80" w:after="40" w:line="278" w:lineRule="auto"/>
      <w:jc w:val="left"/>
      <w:outlineLvl w:val="3"/>
    </w:pPr>
    <w:rPr>
      <w:rFonts w:asciiTheme="minorHAnsi" w:eastAsiaTheme="majorEastAsia" w:hAnsiTheme="minorHAnsi" w:cstheme="majorBidi"/>
      <w:i/>
      <w:iCs/>
      <w:color w:val="0F4761" w:themeColor="accent1" w:themeShade="BF"/>
      <w:kern w:val="2"/>
      <w:szCs w:val="24"/>
      <w14:ligatures w14:val="standardContextual"/>
    </w:rPr>
  </w:style>
  <w:style w:type="paragraph" w:styleId="Heading5">
    <w:name w:val="heading 5"/>
    <w:basedOn w:val="Normal"/>
    <w:next w:val="Normal"/>
    <w:link w:val="Heading5Char"/>
    <w:uiPriority w:val="9"/>
    <w:semiHidden/>
    <w:unhideWhenUsed/>
    <w:qFormat/>
    <w:rsid w:val="00302D6E"/>
    <w:pPr>
      <w:keepNext/>
      <w:keepLines/>
      <w:spacing w:before="80" w:after="40" w:line="278" w:lineRule="auto"/>
      <w:jc w:val="left"/>
      <w:outlineLvl w:val="4"/>
    </w:pPr>
    <w:rPr>
      <w:rFonts w:asciiTheme="minorHAnsi" w:eastAsiaTheme="majorEastAsia" w:hAnsiTheme="minorHAnsi" w:cstheme="majorBidi"/>
      <w:color w:val="0F4761" w:themeColor="accent1" w:themeShade="BF"/>
      <w:kern w:val="2"/>
      <w:szCs w:val="24"/>
      <w14:ligatures w14:val="standardContextual"/>
    </w:rPr>
  </w:style>
  <w:style w:type="paragraph" w:styleId="Heading6">
    <w:name w:val="heading 6"/>
    <w:basedOn w:val="Normal"/>
    <w:next w:val="Normal"/>
    <w:link w:val="Heading6Char"/>
    <w:uiPriority w:val="9"/>
    <w:semiHidden/>
    <w:unhideWhenUsed/>
    <w:qFormat/>
    <w:rsid w:val="00302D6E"/>
    <w:pPr>
      <w:keepNext/>
      <w:keepLines/>
      <w:spacing w:before="40" w:line="278" w:lineRule="auto"/>
      <w:jc w:val="left"/>
      <w:outlineLvl w:val="5"/>
    </w:pPr>
    <w:rPr>
      <w:rFonts w:asciiTheme="minorHAnsi" w:eastAsiaTheme="majorEastAsia" w:hAnsiTheme="minorHAnsi" w:cstheme="majorBidi"/>
      <w:i/>
      <w:iCs/>
      <w:color w:val="595959" w:themeColor="text1" w:themeTint="A6"/>
      <w:kern w:val="2"/>
      <w:szCs w:val="24"/>
      <w14:ligatures w14:val="standardContextual"/>
    </w:rPr>
  </w:style>
  <w:style w:type="paragraph" w:styleId="Heading7">
    <w:name w:val="heading 7"/>
    <w:basedOn w:val="Normal"/>
    <w:next w:val="Normal"/>
    <w:link w:val="Heading7Char"/>
    <w:uiPriority w:val="9"/>
    <w:semiHidden/>
    <w:unhideWhenUsed/>
    <w:qFormat/>
    <w:rsid w:val="00302D6E"/>
    <w:pPr>
      <w:keepNext/>
      <w:keepLines/>
      <w:spacing w:before="40" w:line="278" w:lineRule="auto"/>
      <w:jc w:val="left"/>
      <w:outlineLvl w:val="6"/>
    </w:pPr>
    <w:rPr>
      <w:rFonts w:asciiTheme="minorHAnsi" w:eastAsiaTheme="majorEastAsia" w:hAnsiTheme="minorHAnsi" w:cstheme="majorBidi"/>
      <w:color w:val="595959" w:themeColor="text1" w:themeTint="A6"/>
      <w:kern w:val="2"/>
      <w:szCs w:val="24"/>
      <w14:ligatures w14:val="standardContextual"/>
    </w:rPr>
  </w:style>
  <w:style w:type="paragraph" w:styleId="Heading8">
    <w:name w:val="heading 8"/>
    <w:basedOn w:val="Normal"/>
    <w:next w:val="Normal"/>
    <w:link w:val="Heading8Char"/>
    <w:uiPriority w:val="9"/>
    <w:semiHidden/>
    <w:unhideWhenUsed/>
    <w:qFormat/>
    <w:rsid w:val="00302D6E"/>
    <w:pPr>
      <w:keepNext/>
      <w:keepLines/>
      <w:spacing w:line="278" w:lineRule="auto"/>
      <w:jc w:val="left"/>
      <w:outlineLvl w:val="7"/>
    </w:pPr>
    <w:rPr>
      <w:rFonts w:asciiTheme="minorHAnsi" w:eastAsiaTheme="majorEastAsia" w:hAnsiTheme="minorHAnsi" w:cstheme="majorBidi"/>
      <w:i/>
      <w:iCs/>
      <w:color w:val="272727" w:themeColor="text1" w:themeTint="D8"/>
      <w:kern w:val="2"/>
      <w:szCs w:val="24"/>
      <w14:ligatures w14:val="standardContextual"/>
    </w:rPr>
  </w:style>
  <w:style w:type="paragraph" w:styleId="Heading9">
    <w:name w:val="heading 9"/>
    <w:basedOn w:val="Normal"/>
    <w:next w:val="Normal"/>
    <w:link w:val="Heading9Char"/>
    <w:uiPriority w:val="9"/>
    <w:semiHidden/>
    <w:unhideWhenUsed/>
    <w:qFormat/>
    <w:rsid w:val="00302D6E"/>
    <w:pPr>
      <w:keepNext/>
      <w:keepLines/>
      <w:spacing w:line="278" w:lineRule="auto"/>
      <w:jc w:val="left"/>
      <w:outlineLvl w:val="8"/>
    </w:pPr>
    <w:rPr>
      <w:rFonts w:asciiTheme="minorHAnsi" w:eastAsiaTheme="majorEastAsia" w:hAnsiTheme="minorHAnsi" w:cstheme="majorBidi"/>
      <w:color w:val="272727" w:themeColor="text1" w:themeTint="D8"/>
      <w:kern w:val="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2D6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02D6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02D6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02D6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02D6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02D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2D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2D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2D6E"/>
    <w:rPr>
      <w:rFonts w:eastAsiaTheme="majorEastAsia" w:cstheme="majorBidi"/>
      <w:color w:val="272727" w:themeColor="text1" w:themeTint="D8"/>
    </w:rPr>
  </w:style>
  <w:style w:type="paragraph" w:styleId="Title">
    <w:name w:val="Title"/>
    <w:basedOn w:val="Normal"/>
    <w:next w:val="Normal"/>
    <w:link w:val="TitleChar"/>
    <w:uiPriority w:val="10"/>
    <w:qFormat/>
    <w:rsid w:val="00302D6E"/>
    <w:pPr>
      <w:spacing w:after="80"/>
      <w:contextualSpacing/>
      <w:jc w:val="left"/>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02D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2D6E"/>
    <w:pPr>
      <w:numPr>
        <w:ilvl w:val="1"/>
      </w:numPr>
      <w:spacing w:after="160" w:line="278" w:lineRule="auto"/>
      <w:jc w:val="left"/>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302D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2D6E"/>
    <w:pPr>
      <w:spacing w:before="160" w:after="160" w:line="278" w:lineRule="auto"/>
      <w:jc w:val="center"/>
    </w:pPr>
    <w:rPr>
      <w:rFonts w:asciiTheme="minorHAnsi" w:hAnsiTheme="minorHAnsi"/>
      <w:i/>
      <w:iCs/>
      <w:color w:val="404040" w:themeColor="text1" w:themeTint="BF"/>
      <w:kern w:val="2"/>
      <w:szCs w:val="24"/>
      <w14:ligatures w14:val="standardContextual"/>
    </w:rPr>
  </w:style>
  <w:style w:type="character" w:customStyle="1" w:styleId="QuoteChar">
    <w:name w:val="Quote Char"/>
    <w:basedOn w:val="DefaultParagraphFont"/>
    <w:link w:val="Quote"/>
    <w:uiPriority w:val="29"/>
    <w:rsid w:val="00302D6E"/>
    <w:rPr>
      <w:i/>
      <w:iCs/>
      <w:color w:val="404040" w:themeColor="text1" w:themeTint="BF"/>
    </w:rPr>
  </w:style>
  <w:style w:type="paragraph" w:styleId="ListParagraph">
    <w:name w:val="List Paragraph"/>
    <w:basedOn w:val="Normal"/>
    <w:uiPriority w:val="34"/>
    <w:qFormat/>
    <w:rsid w:val="00302D6E"/>
    <w:pPr>
      <w:spacing w:after="160" w:line="278" w:lineRule="auto"/>
      <w:ind w:left="720"/>
      <w:contextualSpacing/>
      <w:jc w:val="left"/>
    </w:pPr>
    <w:rPr>
      <w:rFonts w:asciiTheme="minorHAnsi" w:hAnsiTheme="minorHAnsi"/>
      <w:kern w:val="2"/>
      <w:szCs w:val="24"/>
      <w14:ligatures w14:val="standardContextual"/>
    </w:rPr>
  </w:style>
  <w:style w:type="character" w:styleId="IntenseEmphasis">
    <w:name w:val="Intense Emphasis"/>
    <w:basedOn w:val="DefaultParagraphFont"/>
    <w:uiPriority w:val="21"/>
    <w:qFormat/>
    <w:rsid w:val="00302D6E"/>
    <w:rPr>
      <w:i/>
      <w:iCs/>
      <w:color w:val="0F4761" w:themeColor="accent1" w:themeShade="BF"/>
    </w:rPr>
  </w:style>
  <w:style w:type="paragraph" w:styleId="IntenseQuote">
    <w:name w:val="Intense Quote"/>
    <w:basedOn w:val="Normal"/>
    <w:next w:val="Normal"/>
    <w:link w:val="IntenseQuoteChar"/>
    <w:uiPriority w:val="30"/>
    <w:qFormat/>
    <w:rsid w:val="00302D6E"/>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hAnsiTheme="minorHAnsi"/>
      <w:i/>
      <w:iCs/>
      <w:color w:val="0F4761" w:themeColor="accent1" w:themeShade="BF"/>
      <w:kern w:val="2"/>
      <w:szCs w:val="24"/>
      <w14:ligatures w14:val="standardContextual"/>
    </w:rPr>
  </w:style>
  <w:style w:type="character" w:customStyle="1" w:styleId="IntenseQuoteChar">
    <w:name w:val="Intense Quote Char"/>
    <w:basedOn w:val="DefaultParagraphFont"/>
    <w:link w:val="IntenseQuote"/>
    <w:uiPriority w:val="30"/>
    <w:rsid w:val="00302D6E"/>
    <w:rPr>
      <w:i/>
      <w:iCs/>
      <w:color w:val="0F4761" w:themeColor="accent1" w:themeShade="BF"/>
    </w:rPr>
  </w:style>
  <w:style w:type="character" w:styleId="IntenseReference">
    <w:name w:val="Intense Reference"/>
    <w:basedOn w:val="DefaultParagraphFont"/>
    <w:uiPriority w:val="32"/>
    <w:qFormat/>
    <w:rsid w:val="00302D6E"/>
    <w:rPr>
      <w:b/>
      <w:bCs/>
      <w:smallCaps/>
      <w:color w:val="0F4761" w:themeColor="accent1" w:themeShade="BF"/>
      <w:spacing w:val="5"/>
    </w:rPr>
  </w:style>
  <w:style w:type="table" w:styleId="TableGrid">
    <w:name w:val="Table Grid"/>
    <w:basedOn w:val="TableNormal"/>
    <w:uiPriority w:val="59"/>
    <w:unhideWhenUsed/>
    <w:rsid w:val="00302D6E"/>
    <w:pPr>
      <w:spacing w:after="0" w:line="240" w:lineRule="auto"/>
    </w:pPr>
    <w:rPr>
      <w:rFonts w:cs="Calibri"/>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68</TotalTime>
  <Pages>1</Pages>
  <Words>1528</Words>
  <Characters>8716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Peck</dc:creator>
  <cp:keywords/>
  <dc:description/>
  <cp:lastModifiedBy>Matt Peck</cp:lastModifiedBy>
  <cp:revision>15</cp:revision>
  <dcterms:created xsi:type="dcterms:W3CDTF">2025-04-12T17:57:00Z</dcterms:created>
  <dcterms:modified xsi:type="dcterms:W3CDTF">2025-04-16T15:36:00Z</dcterms:modified>
</cp:coreProperties>
</file>